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CA" w:rsidRDefault="008A7ACA" w:rsidP="008A7ACA">
      <w:pPr>
        <w:widowControl/>
        <w:wordWrap/>
        <w:jc w:val="center"/>
        <w:rPr>
          <w:b/>
        </w:rPr>
      </w:pPr>
      <w:r>
        <w:rPr>
          <w:rFonts w:hint="eastAsia"/>
          <w:b/>
        </w:rPr>
        <w:t>&lt;</w:t>
      </w:r>
      <w:proofErr w:type="spellStart"/>
      <w:r>
        <w:rPr>
          <w:rFonts w:hint="eastAsia"/>
          <w:b/>
        </w:rPr>
        <w:t>베체트병</w:t>
      </w:r>
      <w:proofErr w:type="spellEnd"/>
      <w:r>
        <w:rPr>
          <w:rFonts w:hint="eastAsia"/>
          <w:b/>
        </w:rPr>
        <w:t xml:space="preserve"> 진료에서 </w:t>
      </w:r>
      <w:r>
        <w:rPr>
          <w:b/>
        </w:rPr>
        <w:t xml:space="preserve">COVID-19 </w:t>
      </w:r>
      <w:r>
        <w:rPr>
          <w:rFonts w:hint="eastAsia"/>
          <w:b/>
        </w:rPr>
        <w:t>관련 고려사항에 대한 ISBD</w:t>
      </w:r>
      <w:r>
        <w:rPr>
          <w:b/>
        </w:rPr>
        <w:t xml:space="preserve"> </w:t>
      </w:r>
      <w:r>
        <w:rPr>
          <w:rFonts w:hint="eastAsia"/>
          <w:b/>
        </w:rPr>
        <w:t>권고안&gt;</w:t>
      </w:r>
    </w:p>
    <w:p w:rsidR="008A7ACA" w:rsidRPr="00BB5F6E" w:rsidRDefault="008A7ACA" w:rsidP="008A7ACA">
      <w:pPr>
        <w:tabs>
          <w:tab w:val="left" w:pos="1780"/>
        </w:tabs>
      </w:pPr>
    </w:p>
    <w:p w:rsidR="008A7ACA" w:rsidRDefault="008A7ACA" w:rsidP="008A7ACA">
      <w:pPr>
        <w:tabs>
          <w:tab w:val="left" w:pos="1780"/>
        </w:tabs>
        <w:jc w:val="center"/>
        <w:rPr>
          <w:b/>
        </w:rPr>
      </w:pPr>
      <w:proofErr w:type="spellStart"/>
      <w:r w:rsidRPr="00FE5703">
        <w:rPr>
          <w:rFonts w:hint="eastAsia"/>
          <w:b/>
        </w:rPr>
        <w:t>베체트병</w:t>
      </w:r>
      <w:proofErr w:type="spellEnd"/>
      <w:r w:rsidRPr="00FE5703">
        <w:rPr>
          <w:b/>
        </w:rPr>
        <w:t xml:space="preserve"> 환자와 그 가족들의 COVID 19관련 질문을 상담하는데 있어서 권고 사항</w:t>
      </w:r>
    </w:p>
    <w:p w:rsidR="008A7ACA" w:rsidRPr="00FE5703" w:rsidRDefault="008A7ACA" w:rsidP="008A7ACA">
      <w:pPr>
        <w:tabs>
          <w:tab w:val="left" w:pos="1780"/>
        </w:tabs>
        <w:jc w:val="center"/>
        <w:rPr>
          <w:b/>
        </w:rPr>
      </w:pPr>
    </w:p>
    <w:p w:rsidR="008A7ACA" w:rsidRPr="00FE5703" w:rsidRDefault="008A7ACA" w:rsidP="008A7ACA">
      <w:pPr>
        <w:tabs>
          <w:tab w:val="left" w:pos="1780"/>
        </w:tabs>
      </w:pPr>
      <w:r w:rsidRPr="00FE5703">
        <w:t xml:space="preserve">2020년 3월 11일 이후 COVID 19은 전세계적인 유행병이 되었다. SARS-CoV-2가 COVID 19의 원인 바이러스이다. 45,248명의 감염자에 대한 </w:t>
      </w:r>
      <w:proofErr w:type="spellStart"/>
      <w:r w:rsidRPr="00FE5703">
        <w:t>메타분석에</w:t>
      </w:r>
      <w:proofErr w:type="spellEnd"/>
      <w:r w:rsidRPr="00FE5703">
        <w:t xml:space="preserve"> 의하면 가장 흔한 임상 증상은 발열 (91%), 기침 (67%), 피로감 (51%), 그리고 호흡곤란 (30%)이다1. 약 17-30%의 감염자들은 무증상이었다2,3. </w:t>
      </w:r>
    </w:p>
    <w:p w:rsidR="008A7ACA" w:rsidRPr="00FE5703" w:rsidRDefault="008A7ACA" w:rsidP="008A7ACA">
      <w:pPr>
        <w:tabs>
          <w:tab w:val="left" w:pos="1780"/>
        </w:tabs>
      </w:pPr>
      <w:r w:rsidRPr="00FE5703">
        <w:rPr>
          <w:rFonts w:hint="eastAsia"/>
        </w:rPr>
        <w:t>현재</w:t>
      </w:r>
      <w:r w:rsidRPr="00FE5703">
        <w:t xml:space="preserve"> </w:t>
      </w:r>
      <w:proofErr w:type="spellStart"/>
      <w:r w:rsidRPr="00FE5703">
        <w:t>베체트병</w:t>
      </w:r>
      <w:proofErr w:type="spellEnd"/>
      <w:r w:rsidRPr="00FE5703">
        <w:t xml:space="preserve"> 환자와 그 가족들에게 이 질환에 대하여 상담할 만한 근거 자료가 많지 않으나, </w:t>
      </w:r>
      <w:proofErr w:type="spellStart"/>
      <w:r w:rsidRPr="00FE5703">
        <w:t>베체트병과</w:t>
      </w:r>
      <w:proofErr w:type="spellEnd"/>
      <w:r w:rsidRPr="00FE5703">
        <w:t xml:space="preserve"> </w:t>
      </w:r>
      <w:proofErr w:type="spellStart"/>
      <w:r w:rsidRPr="00FE5703">
        <w:t>면역억제제</w:t>
      </w:r>
      <w:proofErr w:type="spellEnd"/>
      <w:r w:rsidRPr="00FE5703">
        <w:t xml:space="preserve"> 치료와 관련하여 특별한 고려가 필요하다. </w:t>
      </w:r>
    </w:p>
    <w:p w:rsidR="008A7ACA" w:rsidRPr="00FE5703" w:rsidRDefault="008A7ACA" w:rsidP="008A7ACA">
      <w:pPr>
        <w:tabs>
          <w:tab w:val="left" w:pos="1780"/>
        </w:tabs>
      </w:pPr>
      <w:r w:rsidRPr="00FE5703">
        <w:rPr>
          <w:rFonts w:hint="eastAsia"/>
        </w:rPr>
        <w:t>기저</w:t>
      </w:r>
      <w:r w:rsidRPr="00FE5703">
        <w:t xml:space="preserve"> 질환과 상관없이 모든 사람에게 적용되는 원칙은 WHO4, ECDC/CDC5,6에서 제공되고 있으며, EULAR7, ERA-EDTA8, UKIVAS9 등과 각 국가별10-13로도 권고사항이 제공되고 있는데, ISBD에서는 </w:t>
      </w:r>
      <w:proofErr w:type="spellStart"/>
      <w:r w:rsidRPr="00FE5703">
        <w:t>면역억제제</w:t>
      </w:r>
      <w:proofErr w:type="spellEnd"/>
      <w:r w:rsidRPr="00FE5703">
        <w:t xml:space="preserve"> 치료를 받고 있거나 받고 있지 않은 </w:t>
      </w:r>
      <w:proofErr w:type="spellStart"/>
      <w:r w:rsidRPr="00FE5703">
        <w:t>베체트병</w:t>
      </w:r>
      <w:proofErr w:type="spellEnd"/>
      <w:r w:rsidRPr="00FE5703">
        <w:t xml:space="preserve"> 환자들을 상담하는데 있어 권고 사항들을 간략하게 요약하고자 한다. 각 지역별 위험 요인과 상황에 따라 우리의 권고사항에 더하거나 대체하여 추가적인 수정도 가능하다. </w:t>
      </w:r>
    </w:p>
    <w:p w:rsidR="008A7ACA" w:rsidRPr="00FE5703" w:rsidRDefault="008A7ACA" w:rsidP="008A7ACA">
      <w:pPr>
        <w:tabs>
          <w:tab w:val="left" w:pos="1780"/>
        </w:tabs>
      </w:pPr>
      <w:r w:rsidRPr="00FE5703">
        <w:rPr>
          <w:rFonts w:hint="eastAsia"/>
        </w:rPr>
        <w:t>다만</w:t>
      </w:r>
      <w:r w:rsidRPr="00FE5703">
        <w:t xml:space="preserve">, 아래의 권고 사항은 일반적인 사항이며, 각 환자를 담당하는 의사가 환자 치료의 책임을 진다는 점을 주지하여야 한다. </w:t>
      </w:r>
    </w:p>
    <w:p w:rsidR="008A7ACA" w:rsidRPr="00FE5703" w:rsidRDefault="008A7ACA" w:rsidP="008A7ACA">
      <w:pPr>
        <w:tabs>
          <w:tab w:val="left" w:pos="1780"/>
        </w:tabs>
      </w:pPr>
    </w:p>
    <w:p w:rsidR="008A7ACA" w:rsidRPr="00FE5703" w:rsidRDefault="008A7ACA" w:rsidP="008A7ACA">
      <w:pPr>
        <w:tabs>
          <w:tab w:val="left" w:pos="1780"/>
        </w:tabs>
      </w:pPr>
      <w:r w:rsidRPr="00FE5703">
        <w:rPr>
          <w:rFonts w:hint="eastAsia"/>
        </w:rPr>
        <w:t>일반적인</w:t>
      </w:r>
      <w:r w:rsidRPr="00FE5703">
        <w:t xml:space="preserve"> 고려사항. </w:t>
      </w:r>
    </w:p>
    <w:p w:rsidR="008A7ACA" w:rsidRPr="00FE5703" w:rsidRDefault="008A7ACA" w:rsidP="008A7ACA">
      <w:pPr>
        <w:tabs>
          <w:tab w:val="left" w:pos="1780"/>
        </w:tabs>
      </w:pPr>
      <w:r w:rsidRPr="00FE5703">
        <w:rPr>
          <w:rFonts w:hint="eastAsia"/>
        </w:rPr>
        <w:t>각</w:t>
      </w:r>
      <w:r w:rsidRPr="00FE5703">
        <w:t xml:space="preserve"> 환자의 개별 위험요인 (나이, 기저 질환, 의료 종사자 여부 및 노출 정도, 의료 종사자의 근무 시간, 심리적 스트레스, 피로도, 직업적인 burnout14)과 각 지역별 바이러스 전파 정도, 그리고 COVID-19에 대한 검사 결과를 고려하여 다음과 같은 사항을 모든 환자들에게 권고한다. </w:t>
      </w:r>
    </w:p>
    <w:p w:rsidR="008A7ACA" w:rsidRPr="00FE5703" w:rsidRDefault="008A7ACA" w:rsidP="008A7ACA">
      <w:pPr>
        <w:tabs>
          <w:tab w:val="left" w:pos="567"/>
        </w:tabs>
      </w:pPr>
      <w:r w:rsidRPr="00FE5703">
        <w:t>1.</w:t>
      </w:r>
      <w:r w:rsidRPr="00FE5703">
        <w:tab/>
        <w:t xml:space="preserve">사회적 격리. 상대방과의 거리는 약 2미터의 간격을 두며, 되도록 집에서 거주한다. 5-10 인 이상의 사람이 모이는 것은 피하여야 하며, 가족이 아닌 사람들과의 접촉은 최소한으로 줄여야 한다. </w:t>
      </w:r>
    </w:p>
    <w:p w:rsidR="008A7ACA" w:rsidRPr="00FE5703" w:rsidRDefault="008A7ACA" w:rsidP="008A7ACA">
      <w:pPr>
        <w:tabs>
          <w:tab w:val="left" w:pos="567"/>
        </w:tabs>
      </w:pPr>
      <w:r w:rsidRPr="00FE5703">
        <w:t>2.</w:t>
      </w:r>
      <w:r w:rsidRPr="00FE5703">
        <w:tab/>
        <w:t xml:space="preserve">여행을 제한하고 병원과의 접촉을 제한. 긴급한 상황이 아닌 경우 병원 방문은 피하고 전화로 상담을 하는 것을 추천한다. 특히 바이러스 전파가 낮은 지역의 환자들은 바이러스 전파가 높은 지역으로의 여행을 자제하며, 의료 시설이 충분하지 않은 곳으로의 여행 역시 자제한다. </w:t>
      </w:r>
    </w:p>
    <w:p w:rsidR="008A7ACA" w:rsidRPr="00FE5703" w:rsidRDefault="008A7ACA" w:rsidP="008A7ACA">
      <w:pPr>
        <w:tabs>
          <w:tab w:val="left" w:pos="567"/>
        </w:tabs>
      </w:pPr>
      <w:r w:rsidRPr="00FE5703">
        <w:t>3.</w:t>
      </w:r>
      <w:r w:rsidRPr="00FE5703">
        <w:tab/>
        <w:t>적절한 위생 원칙 준수. 되도록 자주 손을 세척한다. 알코올을 함유한 세정제로 20초 이상 손을 닦거나 비누를 이용해 세척한다. 세정제는 알콜 함유량이 60% 이상이어야 한다. 얼굴과 눈 코를 만지는 것을 피한다.</w:t>
      </w:r>
    </w:p>
    <w:p w:rsidR="008A7ACA" w:rsidRPr="00FE5703" w:rsidRDefault="008A7ACA" w:rsidP="008A7ACA">
      <w:pPr>
        <w:tabs>
          <w:tab w:val="left" w:pos="567"/>
        </w:tabs>
      </w:pPr>
      <w:r w:rsidRPr="00FE5703">
        <w:lastRenderedPageBreak/>
        <w:t>4.</w:t>
      </w:r>
      <w:r w:rsidRPr="00FE5703">
        <w:tab/>
        <w:t xml:space="preserve">거주지의 표면을 정기적으로 소독한다. 지속적으로 접촉이 일어나는 거주 구역 및 가재 도구들을 알코올 함유 소독제로 소독한다. 엘리베이터 버튼이나 손잡이와 같이 공공 장소에서 많은 접촉이 일어나는 곳은 피하고, 사람과의 악수 등 역시 피한다.  만일 접촉이 필요한 경우 휴지나 소매 등으로 손이나 손가락을 덮은 상태에서 만진다14. </w:t>
      </w:r>
    </w:p>
    <w:p w:rsidR="008A7ACA" w:rsidRPr="00FE5703" w:rsidRDefault="008A7ACA" w:rsidP="008A7ACA">
      <w:pPr>
        <w:tabs>
          <w:tab w:val="left" w:pos="567"/>
        </w:tabs>
      </w:pPr>
      <w:r w:rsidRPr="00FE5703">
        <w:t>5.</w:t>
      </w:r>
      <w:r w:rsidRPr="00FE5703">
        <w:tab/>
        <w:t xml:space="preserve">응급 전화 번호의 숙지. 응급 상황이 생길 경우 신고 또는 연락하여야 하는 전화 번호를 미리 알아두고, 거주 지역에서 요구하는 지침 (감염자와의 접촉 시 자가 격리 원칙, 증상에 따른 병원에서의 격리, </w:t>
      </w:r>
      <w:proofErr w:type="spellStart"/>
      <w:r w:rsidRPr="00FE5703">
        <w:t>유증상자의</w:t>
      </w:r>
      <w:proofErr w:type="spellEnd"/>
      <w:r w:rsidRPr="00FE5703">
        <w:t xml:space="preserve"> 격리 등)을 알고 있어야 한다. </w:t>
      </w:r>
    </w:p>
    <w:p w:rsidR="008A7ACA" w:rsidRDefault="008A7ACA" w:rsidP="008A7ACA">
      <w:pPr>
        <w:tabs>
          <w:tab w:val="left" w:pos="567"/>
        </w:tabs>
      </w:pPr>
      <w:r w:rsidRPr="00FE5703">
        <w:t>6.</w:t>
      </w:r>
      <w:r w:rsidRPr="00FE5703">
        <w:tab/>
        <w:t xml:space="preserve">약제의 중단은 의사와의 상담을 통해서만 이루어 져야 한다. 감염자 내에서 중증 환자의 경우 그렇지 않은 환자에 비해 고혈압, 호흡곤란, 심혈관계 이상 등의 위험은 약 2.36, 2.46, 3.42배 높았다. </w:t>
      </w:r>
    </w:p>
    <w:p w:rsidR="008A7ACA" w:rsidRPr="00FE5703" w:rsidRDefault="008A7ACA" w:rsidP="008A7ACA">
      <w:pPr>
        <w:tabs>
          <w:tab w:val="left" w:pos="1780"/>
        </w:tabs>
      </w:pPr>
    </w:p>
    <w:p w:rsidR="008A7ACA" w:rsidRPr="00BB5F6E" w:rsidRDefault="008A7ACA" w:rsidP="008A7ACA">
      <w:pPr>
        <w:widowControl/>
        <w:wordWrap/>
        <w:jc w:val="center"/>
        <w:rPr>
          <w:b/>
        </w:rPr>
      </w:pPr>
    </w:p>
    <w:p w:rsidR="008A7ACA" w:rsidRPr="00FE5703" w:rsidRDefault="008A7ACA" w:rsidP="008A7ACA">
      <w:pPr>
        <w:tabs>
          <w:tab w:val="left" w:pos="1780"/>
        </w:tabs>
        <w:jc w:val="center"/>
        <w:rPr>
          <w:b/>
        </w:rPr>
      </w:pPr>
      <w:r w:rsidRPr="00FE5703">
        <w:rPr>
          <w:b/>
        </w:rPr>
        <w:t xml:space="preserve">COVID-19에 감염되지 않은 </w:t>
      </w:r>
      <w:proofErr w:type="spellStart"/>
      <w:r w:rsidRPr="00FE5703">
        <w:rPr>
          <w:b/>
        </w:rPr>
        <w:t>베체트병</w:t>
      </w:r>
      <w:proofErr w:type="spellEnd"/>
      <w:r w:rsidRPr="00FE5703">
        <w:rPr>
          <w:b/>
        </w:rPr>
        <w:t xml:space="preserve"> 환자들의 상담</w:t>
      </w:r>
    </w:p>
    <w:p w:rsidR="008A7ACA" w:rsidRPr="00FE5703" w:rsidRDefault="008A7ACA" w:rsidP="008A7ACA">
      <w:pPr>
        <w:tabs>
          <w:tab w:val="left" w:pos="1780"/>
        </w:tabs>
      </w:pPr>
    </w:p>
    <w:p w:rsidR="008A7ACA" w:rsidRPr="00FE5703" w:rsidRDefault="008A7ACA" w:rsidP="008A7ACA">
      <w:pPr>
        <w:tabs>
          <w:tab w:val="left" w:pos="1780"/>
        </w:tabs>
      </w:pPr>
      <w:proofErr w:type="spellStart"/>
      <w:r w:rsidRPr="00FE5703">
        <w:rPr>
          <w:rFonts w:hint="eastAsia"/>
        </w:rPr>
        <w:t>베체트병과</w:t>
      </w:r>
      <w:proofErr w:type="spellEnd"/>
      <w:r w:rsidRPr="00FE5703">
        <w:t xml:space="preserve"> 같은 면역관련질환을 가진 환자들에서 COVID-19 감염의 위험도가 더 </w:t>
      </w:r>
      <w:proofErr w:type="spellStart"/>
      <w:r w:rsidRPr="00FE5703">
        <w:t>높은지에</w:t>
      </w:r>
      <w:proofErr w:type="spellEnd"/>
      <w:r w:rsidRPr="00FE5703">
        <w:t xml:space="preserve"> 대하여 알려진 바는 없다. 다음의 고려사항들은 ‘기본 원칙’을 바탕으로 한 것이며 아직 과학적으로 입증된 것은 아니다.</w:t>
      </w:r>
    </w:p>
    <w:p w:rsidR="008A7ACA" w:rsidRPr="00FE5703" w:rsidRDefault="008A7ACA" w:rsidP="008A7ACA">
      <w:pPr>
        <w:tabs>
          <w:tab w:val="left" w:pos="1780"/>
        </w:tabs>
      </w:pPr>
    </w:p>
    <w:p w:rsidR="008A7ACA" w:rsidRPr="00FE5703" w:rsidRDefault="008A7ACA" w:rsidP="008A7ACA">
      <w:pPr>
        <w:tabs>
          <w:tab w:val="left" w:pos="426"/>
        </w:tabs>
      </w:pPr>
      <w:r w:rsidRPr="00FE5703">
        <w:t>(1)</w:t>
      </w:r>
      <w:r w:rsidRPr="00FE5703">
        <w:tab/>
      </w:r>
      <w:proofErr w:type="spellStart"/>
      <w:r w:rsidRPr="00FE5703">
        <w:t>베체트병</w:t>
      </w:r>
      <w:proofErr w:type="spellEnd"/>
      <w:r w:rsidRPr="00FE5703">
        <w:t xml:space="preserve"> 자체가 일반적으로 바이러스질환에 대한 민감성을 증가시키는 지에 대한 증거는 없다.</w:t>
      </w:r>
    </w:p>
    <w:p w:rsidR="008A7ACA" w:rsidRPr="00FE5703" w:rsidRDefault="008A7ACA" w:rsidP="008A7ACA">
      <w:pPr>
        <w:tabs>
          <w:tab w:val="left" w:pos="426"/>
        </w:tabs>
      </w:pPr>
      <w:r w:rsidRPr="00FE5703">
        <w:t>(2)</w:t>
      </w:r>
      <w:r w:rsidRPr="00FE5703">
        <w:tab/>
        <w:t xml:space="preserve">바이러스질환은 </w:t>
      </w:r>
      <w:proofErr w:type="spellStart"/>
      <w:r w:rsidRPr="00FE5703">
        <w:t>베체트병의</w:t>
      </w:r>
      <w:proofErr w:type="spellEnd"/>
      <w:r w:rsidRPr="00FE5703">
        <w:t xml:space="preserve"> 악화를 유발할 수 있다.</w:t>
      </w:r>
    </w:p>
    <w:p w:rsidR="008A7ACA" w:rsidRPr="00FE5703" w:rsidRDefault="008A7ACA" w:rsidP="008A7ACA">
      <w:pPr>
        <w:tabs>
          <w:tab w:val="left" w:pos="426"/>
        </w:tabs>
      </w:pPr>
      <w:r w:rsidRPr="00FE5703">
        <w:t>(3)</w:t>
      </w:r>
      <w:r w:rsidRPr="00FE5703">
        <w:tab/>
        <w:t xml:space="preserve">일부 또는 모든 면역억제제는 COVID-19 </w:t>
      </w:r>
      <w:proofErr w:type="spellStart"/>
      <w:r w:rsidRPr="00FE5703">
        <w:t>감염증의</w:t>
      </w:r>
      <w:proofErr w:type="spellEnd"/>
      <w:r w:rsidRPr="00FE5703">
        <w:t xml:space="preserve"> 증상과 감염 위험성을 악화시킬 수 있으나, 몇몇 면역억제제는 오히려 그러한 위험을 감소시킬 수도 있다.</w:t>
      </w:r>
    </w:p>
    <w:p w:rsidR="008A7ACA" w:rsidRPr="00FE5703" w:rsidRDefault="008A7ACA" w:rsidP="008A7ACA">
      <w:pPr>
        <w:tabs>
          <w:tab w:val="left" w:pos="426"/>
        </w:tabs>
      </w:pPr>
      <w:r w:rsidRPr="00FE5703">
        <w:t>(4)</w:t>
      </w:r>
      <w:r w:rsidRPr="00FE5703">
        <w:tab/>
        <w:t xml:space="preserve">생물학적제제를 포함한 면역억제제들은 이 바이러스 질환의 가장 두려운 합병증인 급성호흡부전증후군과 같은 합병증의 발생을 유발하게 되는 </w:t>
      </w:r>
      <w:proofErr w:type="spellStart"/>
      <w:r w:rsidRPr="00FE5703">
        <w:t>사이토카인</w:t>
      </w:r>
      <w:proofErr w:type="spellEnd"/>
      <w:r w:rsidRPr="00FE5703">
        <w:t xml:space="preserve"> 폭풍을 막는데 도움이 될 수 있다. </w:t>
      </w:r>
    </w:p>
    <w:p w:rsidR="008A7ACA" w:rsidRPr="00FE5703" w:rsidRDefault="008A7ACA" w:rsidP="008A7ACA">
      <w:pPr>
        <w:tabs>
          <w:tab w:val="left" w:pos="1780"/>
        </w:tabs>
      </w:pPr>
    </w:p>
    <w:p w:rsidR="008A7ACA" w:rsidRPr="00FE5703" w:rsidRDefault="008A7ACA" w:rsidP="008A7ACA">
      <w:pPr>
        <w:tabs>
          <w:tab w:val="left" w:pos="1780"/>
        </w:tabs>
      </w:pPr>
      <w:r w:rsidRPr="00FE5703">
        <w:rPr>
          <w:rFonts w:hint="eastAsia"/>
        </w:rPr>
        <w:t>따라서</w:t>
      </w:r>
      <w:r w:rsidRPr="00FE5703">
        <w:t xml:space="preserve"> 환자들의 기존 위험 요인들에 대한 개별적인 평가가 면역억제 치료를 시작, 조정, 연기, 또는 중단하는 결정을 내리는데 필수적이다.</w:t>
      </w:r>
    </w:p>
    <w:p w:rsidR="008A7ACA" w:rsidRPr="00FE5703" w:rsidRDefault="008A7ACA" w:rsidP="008A7ACA">
      <w:pPr>
        <w:tabs>
          <w:tab w:val="left" w:pos="1780"/>
        </w:tabs>
      </w:pPr>
    </w:p>
    <w:p w:rsidR="008A7ACA" w:rsidRPr="00FE5703" w:rsidRDefault="008A7ACA" w:rsidP="008A7ACA">
      <w:pPr>
        <w:tabs>
          <w:tab w:val="left" w:pos="1780"/>
        </w:tabs>
      </w:pPr>
      <w:r w:rsidRPr="00FE5703">
        <w:rPr>
          <w:rFonts w:hint="eastAsia"/>
          <w:b/>
        </w:rPr>
        <w:lastRenderedPageBreak/>
        <w:t>원칙</w:t>
      </w:r>
      <w:r w:rsidRPr="00FE5703">
        <w:rPr>
          <w:b/>
        </w:rPr>
        <w:t xml:space="preserve"> 1:</w:t>
      </w:r>
      <w:r w:rsidRPr="00FE5703">
        <w:t xml:space="preserve"> </w:t>
      </w:r>
      <w:proofErr w:type="spellStart"/>
      <w:r w:rsidRPr="00FE5703">
        <w:t>면억억제</w:t>
      </w:r>
      <w:proofErr w:type="spellEnd"/>
      <w:r w:rsidRPr="00FE5703">
        <w:t xml:space="preserve"> 효과와 비교할 때 </w:t>
      </w:r>
      <w:proofErr w:type="spellStart"/>
      <w:r w:rsidRPr="00FE5703">
        <w:t>베체트병의</w:t>
      </w:r>
      <w:proofErr w:type="spellEnd"/>
      <w:r w:rsidRPr="00FE5703">
        <w:t xml:space="preserve"> 재발은 더 큰 위험을 초래하므로, 가능하면 어떤 형태의 </w:t>
      </w:r>
      <w:proofErr w:type="spellStart"/>
      <w:r w:rsidRPr="00FE5703">
        <w:t>베체트병의</w:t>
      </w:r>
      <w:proofErr w:type="spellEnd"/>
      <w:r w:rsidRPr="00FE5703">
        <w:t xml:space="preserve"> 재발도 피하여야 한다. 구강 궤양의 치료와 같은 국소 치료를 중단할 이유는 없다. </w:t>
      </w:r>
    </w:p>
    <w:p w:rsidR="008A7ACA" w:rsidRPr="00FE5703" w:rsidRDefault="008A7ACA" w:rsidP="008A7ACA">
      <w:pPr>
        <w:tabs>
          <w:tab w:val="left" w:pos="1780"/>
        </w:tabs>
      </w:pPr>
    </w:p>
    <w:p w:rsidR="008A7ACA" w:rsidRPr="00FE5703" w:rsidRDefault="008A7ACA" w:rsidP="008A7ACA">
      <w:pPr>
        <w:tabs>
          <w:tab w:val="left" w:pos="1780"/>
        </w:tabs>
      </w:pPr>
      <w:r w:rsidRPr="00FE5703">
        <w:rPr>
          <w:rFonts w:hint="eastAsia"/>
        </w:rPr>
        <w:t>경구</w:t>
      </w:r>
      <w:r w:rsidRPr="00FE5703">
        <w:t xml:space="preserve"> 또는 </w:t>
      </w:r>
      <w:proofErr w:type="spellStart"/>
      <w:r w:rsidRPr="00FE5703">
        <w:t>주사약제의</w:t>
      </w:r>
      <w:proofErr w:type="spellEnd"/>
      <w:r w:rsidRPr="00FE5703">
        <w:t xml:space="preserve"> 투약과 관련하여:</w:t>
      </w:r>
    </w:p>
    <w:p w:rsidR="008A7ACA" w:rsidRPr="00FE5703" w:rsidRDefault="008A7ACA" w:rsidP="008A7ACA">
      <w:pPr>
        <w:tabs>
          <w:tab w:val="left" w:pos="284"/>
        </w:tabs>
      </w:pPr>
      <w:r w:rsidRPr="00FE5703">
        <w:rPr>
          <w:rFonts w:hint="eastAsia"/>
        </w:rPr>
        <w:t>•</w:t>
      </w:r>
      <w:r w:rsidRPr="00FE5703">
        <w:tab/>
      </w:r>
      <w:proofErr w:type="spellStart"/>
      <w:r w:rsidRPr="00FE5703">
        <w:t>저위험</w:t>
      </w:r>
      <w:proofErr w:type="spellEnd"/>
      <w:r w:rsidRPr="00FE5703">
        <w:t xml:space="preserve"> 상황에서는(감염자가 매우 적고 지역사회 전염이 없는 지역들): 면역억제치료가 지속될 수 있다. 위에서 언급된 것들과 같은 일반적 권고사항들이 추천된다.</w:t>
      </w:r>
    </w:p>
    <w:p w:rsidR="008A7ACA" w:rsidRPr="00FE5703" w:rsidRDefault="008A7ACA" w:rsidP="008A7ACA">
      <w:pPr>
        <w:tabs>
          <w:tab w:val="left" w:pos="284"/>
        </w:tabs>
      </w:pPr>
      <w:r w:rsidRPr="00FE5703">
        <w:rPr>
          <w:rFonts w:hint="eastAsia"/>
        </w:rPr>
        <w:t>•</w:t>
      </w:r>
      <w:r w:rsidRPr="00FE5703">
        <w:tab/>
        <w:t xml:space="preserve">중등도 위험 상항에서는(감염자가 많은 지역 / 지역사회 전염의 위험이 있거나 또는 의료계 종사자와 같이 개인적인 위험도가 높은 경우): 염증이 완화된 시점과 현재 질환의 </w:t>
      </w:r>
      <w:proofErr w:type="spellStart"/>
      <w:r w:rsidRPr="00FE5703">
        <w:t>활성도에</w:t>
      </w:r>
      <w:proofErr w:type="spellEnd"/>
      <w:r w:rsidRPr="00FE5703">
        <w:t xml:space="preserve"> 따라 투여 간격을 늘이는 것과 같은 방법으로 생물학적제제들(TNF </w:t>
      </w:r>
      <w:proofErr w:type="spellStart"/>
      <w:r w:rsidRPr="00FE5703">
        <w:t>억제제</w:t>
      </w:r>
      <w:proofErr w:type="spellEnd"/>
      <w:r w:rsidRPr="00FE5703">
        <w:t xml:space="preserve"> 등)의 투여를 미루는 것이 적절할 수 있으며, 전문의의 결정에 따른다. 재발이 있는 경우 </w:t>
      </w:r>
      <w:proofErr w:type="spellStart"/>
      <w:r w:rsidRPr="00FE5703">
        <w:t>프레드니솔론은</w:t>
      </w:r>
      <w:proofErr w:type="spellEnd"/>
      <w:r w:rsidRPr="00FE5703">
        <w:t xml:space="preserve"> 일일 용량 2.5-5 mg으로부터 5-10 mg으로 증량이 권고될 수 있다.</w:t>
      </w:r>
    </w:p>
    <w:p w:rsidR="008A7ACA" w:rsidRPr="00FE5703" w:rsidRDefault="008A7ACA" w:rsidP="008A7ACA">
      <w:pPr>
        <w:tabs>
          <w:tab w:val="left" w:pos="284"/>
        </w:tabs>
      </w:pPr>
      <w:r w:rsidRPr="00FE5703">
        <w:rPr>
          <w:rFonts w:hint="eastAsia"/>
        </w:rPr>
        <w:t>•</w:t>
      </w:r>
      <w:r w:rsidRPr="00FE5703">
        <w:tab/>
        <w:t>고위험 상황에서는(감염자가 많은 지역이며 지역사회 전염의 위험이 있고, 의료계 종사자와 같이 개인적인 위험도가 높은 경우): 생물학적 제제의 투여 연기와 동시에 면역억제제를 감량하는 것이 적절할 수 있으며, 의사의 결정에 따른다. 이러한 조치에 대한 명확한 근거는 없으며, 단지 전문가의 의견에 기반한 제안이다.</w:t>
      </w:r>
    </w:p>
    <w:p w:rsidR="008A7ACA" w:rsidRPr="00FE5703" w:rsidRDefault="008A7ACA" w:rsidP="008A7ACA">
      <w:pPr>
        <w:tabs>
          <w:tab w:val="left" w:pos="1780"/>
        </w:tabs>
      </w:pPr>
    </w:p>
    <w:p w:rsidR="008A7ACA" w:rsidRPr="00FE5703" w:rsidRDefault="008A7ACA" w:rsidP="008A7ACA">
      <w:pPr>
        <w:tabs>
          <w:tab w:val="left" w:pos="1780"/>
        </w:tabs>
      </w:pPr>
      <w:r w:rsidRPr="00FE5703">
        <w:rPr>
          <w:rFonts w:hint="eastAsia"/>
          <w:b/>
        </w:rPr>
        <w:t>원칙</w:t>
      </w:r>
      <w:r w:rsidRPr="00FE5703">
        <w:rPr>
          <w:b/>
        </w:rPr>
        <w:t xml:space="preserve"> 2:</w:t>
      </w:r>
      <w:r w:rsidRPr="00FE5703">
        <w:t xml:space="preserve"> 불필요하게 전문의를 방문하거나 다른 면역억제치료 중인 환자들과 함께 장시간 대기하는 것, 바이러스에 오염된 환경과 접촉할 가능성 등을 피하고 방문 진료를 대체하기 위해 </w:t>
      </w:r>
      <w:proofErr w:type="spellStart"/>
      <w:r w:rsidRPr="00FE5703">
        <w:t>원격진료가</w:t>
      </w:r>
      <w:proofErr w:type="spellEnd"/>
      <w:r w:rsidRPr="00FE5703">
        <w:t xml:space="preserve"> 이용되어야 한다. 비디오나 전화 상담이 환자들에게 제공될 수 있다. 필요한 정보는 숙련된 의료계 종사자들에 의해 제공되거나, 또는 이러한 의료계 종사자들의 후원자로서, 의사들에 의해 제공될 수 있다. 약품들을 환자들의 친척이나 택배 서비스를 이용하여 집으로 배송함으로써 환자들의 이동을 추가로 줄일 수 있다. </w:t>
      </w:r>
    </w:p>
    <w:p w:rsidR="008A7ACA" w:rsidRPr="00FE5703" w:rsidRDefault="008A7ACA" w:rsidP="008A7ACA">
      <w:pPr>
        <w:tabs>
          <w:tab w:val="left" w:pos="1780"/>
        </w:tabs>
      </w:pPr>
    </w:p>
    <w:p w:rsidR="008A7ACA" w:rsidRPr="00FE5703" w:rsidRDefault="008A7ACA" w:rsidP="008A7ACA">
      <w:pPr>
        <w:tabs>
          <w:tab w:val="left" w:pos="1780"/>
        </w:tabs>
      </w:pPr>
      <w:r w:rsidRPr="00FE5703">
        <w:rPr>
          <w:rFonts w:hint="eastAsia"/>
          <w:b/>
        </w:rPr>
        <w:t>원칙</w:t>
      </w:r>
      <w:r w:rsidRPr="00FE5703">
        <w:rPr>
          <w:b/>
        </w:rPr>
        <w:t xml:space="preserve"> 3:</w:t>
      </w:r>
      <w:r w:rsidRPr="00FE5703">
        <w:t xml:space="preserve"> 환자가 치료와 관련된 부작용이 없으면서 현재 질환의 활성이 안정되었거나 낮은 상태라면, 면역억제제를 사용 중인 환자들에게 전화로 바이러스에 대해 정보를 알리고 전문가들이 최선(변경하거나 유지함으로써)이라고 생각하는 치료를 환자들이 충실히 지키고 있는 지 확인할 수 있는 시간을 의사들에게 제공하기 위해 방문일정을 변경할 것을 고려한다.</w:t>
      </w:r>
    </w:p>
    <w:p w:rsidR="008A7ACA" w:rsidRPr="00FE5703" w:rsidRDefault="008A7ACA" w:rsidP="008A7ACA">
      <w:pPr>
        <w:tabs>
          <w:tab w:val="left" w:pos="1780"/>
        </w:tabs>
      </w:pPr>
    </w:p>
    <w:p w:rsidR="008A7ACA" w:rsidRDefault="008A7ACA" w:rsidP="008A7ACA">
      <w:pPr>
        <w:tabs>
          <w:tab w:val="left" w:pos="1780"/>
        </w:tabs>
        <w:jc w:val="center"/>
        <w:rPr>
          <w:b/>
        </w:rPr>
      </w:pPr>
    </w:p>
    <w:p w:rsidR="008A7ACA" w:rsidRDefault="008A7ACA" w:rsidP="008A7ACA">
      <w:pPr>
        <w:tabs>
          <w:tab w:val="left" w:pos="1780"/>
        </w:tabs>
        <w:jc w:val="center"/>
        <w:rPr>
          <w:b/>
        </w:rPr>
      </w:pPr>
    </w:p>
    <w:p w:rsidR="008A7ACA" w:rsidRPr="00FE5703" w:rsidRDefault="008A7ACA" w:rsidP="008A7ACA">
      <w:pPr>
        <w:tabs>
          <w:tab w:val="left" w:pos="1780"/>
        </w:tabs>
        <w:jc w:val="center"/>
        <w:rPr>
          <w:b/>
        </w:rPr>
      </w:pPr>
      <w:r w:rsidRPr="00FE5703">
        <w:rPr>
          <w:b/>
        </w:rPr>
        <w:lastRenderedPageBreak/>
        <w:t xml:space="preserve">COVID-19에 감염된 </w:t>
      </w:r>
      <w:proofErr w:type="spellStart"/>
      <w:r w:rsidRPr="00FE5703">
        <w:rPr>
          <w:b/>
        </w:rPr>
        <w:t>베체트병</w:t>
      </w:r>
      <w:proofErr w:type="spellEnd"/>
      <w:r w:rsidRPr="00FE5703">
        <w:rPr>
          <w:b/>
        </w:rPr>
        <w:t xml:space="preserve"> 환자들의 관리</w:t>
      </w:r>
    </w:p>
    <w:p w:rsidR="008A7ACA" w:rsidRPr="00FE5703" w:rsidRDefault="008A7ACA" w:rsidP="008A7ACA">
      <w:pPr>
        <w:tabs>
          <w:tab w:val="left" w:pos="1780"/>
        </w:tabs>
      </w:pPr>
    </w:p>
    <w:p w:rsidR="008A7ACA" w:rsidRPr="00FE5703" w:rsidRDefault="008A7ACA" w:rsidP="008A7ACA">
      <w:pPr>
        <w:tabs>
          <w:tab w:val="left" w:pos="1780"/>
        </w:tabs>
      </w:pPr>
      <w:r w:rsidRPr="00FE5703">
        <w:t xml:space="preserve">SARS-CoV-2 감염이 의심되거나 확진 된 경우, 특히 발열이나 심한 호흡곤란이 동반된 경우에는 </w:t>
      </w:r>
      <w:proofErr w:type="spellStart"/>
      <w:r w:rsidRPr="00FE5703">
        <w:t>면역억제제</w:t>
      </w:r>
      <w:proofErr w:type="spellEnd"/>
      <w:r w:rsidRPr="00FE5703">
        <w:t xml:space="preserve"> 투여를 중단하고 즉시 전문의에게 연락하여야 한다. 뒤이어 감염내과 전문의와의 상의와 지역 당국의 규칙에 따른, 증상과 위험요인들에 근거한 입원 조치 등의 환자 관리가 이루어져야 한다. </w:t>
      </w:r>
    </w:p>
    <w:p w:rsidR="008A7ACA" w:rsidRPr="00FE5703" w:rsidRDefault="008A7ACA" w:rsidP="008A7ACA">
      <w:pPr>
        <w:tabs>
          <w:tab w:val="left" w:pos="1780"/>
        </w:tabs>
      </w:pPr>
    </w:p>
    <w:p w:rsidR="008A7ACA" w:rsidRDefault="008A7ACA" w:rsidP="008A7ACA">
      <w:pPr>
        <w:tabs>
          <w:tab w:val="left" w:pos="1780"/>
        </w:tabs>
      </w:pPr>
      <w:r w:rsidRPr="00FE5703">
        <w:rPr>
          <w:rFonts w:hint="eastAsia"/>
        </w:rPr>
        <w:t>환자의</w:t>
      </w:r>
      <w:r w:rsidRPr="00FE5703">
        <w:t xml:space="preserve"> 정확한 상황, </w:t>
      </w:r>
      <w:proofErr w:type="spellStart"/>
      <w:r w:rsidRPr="00FE5703">
        <w:t>베체트병의</w:t>
      </w:r>
      <w:proofErr w:type="spellEnd"/>
      <w:r w:rsidRPr="00FE5703">
        <w:t xml:space="preserve"> 활성, 그리고 사용되는 약물에 기반한 개별적인 위험-편익 평가에 따라 결정이 내려져야 한다. 특정 약물들에 대하여 다음의 사항들이 고려될 수 있다: </w:t>
      </w:r>
    </w:p>
    <w:p w:rsidR="008A7ACA" w:rsidRPr="00FE5703" w:rsidRDefault="008A7ACA" w:rsidP="008A7ACA">
      <w:pPr>
        <w:tabs>
          <w:tab w:val="left" w:pos="1780"/>
        </w:tabs>
      </w:pPr>
    </w:p>
    <w:p w:rsidR="008A7ACA" w:rsidRPr="00FE5703" w:rsidRDefault="008A7ACA" w:rsidP="008A7ACA">
      <w:pPr>
        <w:tabs>
          <w:tab w:val="left" w:pos="1780"/>
        </w:tabs>
      </w:pPr>
      <w:r w:rsidRPr="00FE5703">
        <w:rPr>
          <w:rFonts w:hint="eastAsia"/>
          <w:b/>
        </w:rPr>
        <w:t>국소</w:t>
      </w:r>
      <w:r w:rsidRPr="00FE5703">
        <w:rPr>
          <w:b/>
        </w:rPr>
        <w:t xml:space="preserve"> 치료</w:t>
      </w:r>
      <w:r w:rsidRPr="00FE5703">
        <w:t>(스테로이드제 등)는 COVID-19 환자에도 계속 사용될 수 있다.</w:t>
      </w:r>
    </w:p>
    <w:p w:rsidR="008A7ACA" w:rsidRPr="00FE5703" w:rsidRDefault="008A7ACA" w:rsidP="008A7ACA">
      <w:pPr>
        <w:tabs>
          <w:tab w:val="left" w:pos="1780"/>
        </w:tabs>
      </w:pPr>
      <w:proofErr w:type="spellStart"/>
      <w:r w:rsidRPr="00FE5703">
        <w:rPr>
          <w:rFonts w:hint="eastAsia"/>
          <w:b/>
        </w:rPr>
        <w:t>콜히친</w:t>
      </w:r>
      <w:proofErr w:type="spellEnd"/>
      <w:r w:rsidRPr="00FE5703">
        <w:rPr>
          <w:b/>
        </w:rPr>
        <w:t>:</w:t>
      </w:r>
      <w:r w:rsidRPr="00FE5703">
        <w:t xml:space="preserve"> COVID-19에 대한 </w:t>
      </w:r>
      <w:proofErr w:type="spellStart"/>
      <w:r w:rsidRPr="00FE5703">
        <w:t>콜히친의</w:t>
      </w:r>
      <w:proofErr w:type="spellEnd"/>
      <w:r w:rsidRPr="00FE5703">
        <w:t xml:space="preserve"> 긍정적 또는 부정적 효과와 관련된 정보가 없으므로, 질병의 재발을 방지하기 위해 중단하지 않는 것이 권장된다(원칙 2).</w:t>
      </w:r>
    </w:p>
    <w:p w:rsidR="008A7ACA" w:rsidRPr="00FE5703" w:rsidRDefault="008A7ACA" w:rsidP="008A7ACA">
      <w:pPr>
        <w:tabs>
          <w:tab w:val="left" w:pos="1780"/>
        </w:tabs>
      </w:pPr>
      <w:r w:rsidRPr="00FE5703">
        <w:rPr>
          <w:rFonts w:hint="eastAsia"/>
          <w:b/>
        </w:rPr>
        <w:t>경구</w:t>
      </w:r>
      <w:r w:rsidRPr="00FE5703">
        <w:rPr>
          <w:b/>
        </w:rPr>
        <w:t xml:space="preserve"> 스테로이드제:</w:t>
      </w:r>
      <w:r w:rsidRPr="00FE5703">
        <w:t xml:space="preserve"> 하루10mg 미만의 용량을 사용 중이었다면 새로운 신체 스트레스(예: 부신기능부전증)에 대응할 능력이 저하되었을 수 있으므로 </w:t>
      </w:r>
      <w:proofErr w:type="spellStart"/>
      <w:r w:rsidRPr="00FE5703">
        <w:t>프레드니솔론</w:t>
      </w:r>
      <w:proofErr w:type="spellEnd"/>
      <w:r w:rsidRPr="00FE5703">
        <w:t xml:space="preserve"> 용량을 두배로 증량하고, 10mg또는 그 이상으로 사용 중이었다면 동일 용량을 유지하라. 중국에서의 경험은 폐에 이상이 나타나지 않은 감염의 초기에서는 중간 용량의 스테로이드제들이 유익할 수 있다는 것을 시사하므로, 하루 10mg까지의 </w:t>
      </w:r>
      <w:proofErr w:type="spellStart"/>
      <w:r w:rsidRPr="00FE5703">
        <w:t>저용량</w:t>
      </w:r>
      <w:proofErr w:type="spellEnd"/>
      <w:r w:rsidRPr="00FE5703">
        <w:t xml:space="preserve"> 스테로이드는 이러한 초기 단계에서 사용될 수 있다.</w:t>
      </w:r>
    </w:p>
    <w:p w:rsidR="008A7ACA" w:rsidRPr="00FE5703" w:rsidRDefault="008A7ACA" w:rsidP="008A7ACA">
      <w:pPr>
        <w:tabs>
          <w:tab w:val="left" w:pos="1780"/>
        </w:tabs>
      </w:pPr>
      <w:r w:rsidRPr="00FE5703">
        <w:rPr>
          <w:rFonts w:hint="eastAsia"/>
          <w:b/>
        </w:rPr>
        <w:t>전통적인</w:t>
      </w:r>
      <w:r w:rsidRPr="00FE5703">
        <w:rPr>
          <w:b/>
        </w:rPr>
        <w:t xml:space="preserve"> 합성 항류마티스약제 (Azathioprine, </w:t>
      </w:r>
      <w:proofErr w:type="spellStart"/>
      <w:r w:rsidRPr="00FE5703">
        <w:rPr>
          <w:b/>
        </w:rPr>
        <w:t>Cyclosporin</w:t>
      </w:r>
      <w:proofErr w:type="spellEnd"/>
      <w:r w:rsidRPr="00FE5703">
        <w:rPr>
          <w:b/>
        </w:rPr>
        <w:t xml:space="preserve">, Methotrexate, </w:t>
      </w:r>
      <w:proofErr w:type="spellStart"/>
      <w:r w:rsidRPr="00FE5703">
        <w:rPr>
          <w:b/>
        </w:rPr>
        <w:t>Apremilast</w:t>
      </w:r>
      <w:proofErr w:type="spellEnd"/>
      <w:r w:rsidRPr="00FE5703">
        <w:rPr>
          <w:b/>
        </w:rPr>
        <w:t xml:space="preserve">, </w:t>
      </w:r>
      <w:proofErr w:type="gramStart"/>
      <w:r w:rsidRPr="00FE5703">
        <w:rPr>
          <w:b/>
        </w:rPr>
        <w:t>…</w:t>
      </w:r>
      <w:proofErr w:type="gramEnd"/>
      <w:r w:rsidRPr="00FE5703">
        <w:rPr>
          <w:b/>
        </w:rPr>
        <w:t>):</w:t>
      </w:r>
      <w:r w:rsidRPr="00FE5703">
        <w:t xml:space="preserve"> 발열, 호흡곤란, 또는 급성호흡곤란증후군이 있는 경우: 약제를 중단하는 것이 권고되며 즉시 전문의에게 연락하여야 한다.</w:t>
      </w:r>
    </w:p>
    <w:p w:rsidR="008A7ACA" w:rsidRPr="00FE5703" w:rsidRDefault="008A7ACA" w:rsidP="008A7ACA">
      <w:pPr>
        <w:tabs>
          <w:tab w:val="left" w:pos="1780"/>
        </w:tabs>
      </w:pPr>
      <w:r w:rsidRPr="00FE5703">
        <w:rPr>
          <w:rFonts w:hint="eastAsia"/>
          <w:b/>
        </w:rPr>
        <w:t>생물학적</w:t>
      </w:r>
      <w:r w:rsidRPr="00FE5703">
        <w:rPr>
          <w:b/>
        </w:rPr>
        <w:t xml:space="preserve"> 항류마티스약제, 항TNF제제 등:</w:t>
      </w:r>
      <w:r w:rsidRPr="00FE5703">
        <w:t xml:space="preserve"> 생물학적 항류마티스약제의 지속여부는 주로 신체 장기를 위협하는 심각한 질환에서 사용되고 있는지 여부에 따라 결정된다. 장래에는 이러한 약제들이 후기 합병증들(예. </w:t>
      </w:r>
      <w:proofErr w:type="spellStart"/>
      <w:r w:rsidRPr="00FE5703">
        <w:t>사이토카인</w:t>
      </w:r>
      <w:proofErr w:type="spellEnd"/>
      <w:r w:rsidRPr="00FE5703">
        <w:t xml:space="preserve"> 폭풍)을 예방하거나 치료하는데 잠재적인 긍정적 효과가 있을지에 대하여 더 많은 증거들이 제시될 수 있다.</w:t>
      </w:r>
    </w:p>
    <w:p w:rsidR="008A7ACA" w:rsidRPr="00FE5703" w:rsidRDefault="008A7ACA" w:rsidP="008A7ACA">
      <w:pPr>
        <w:tabs>
          <w:tab w:val="left" w:pos="1780"/>
        </w:tabs>
      </w:pPr>
    </w:p>
    <w:p w:rsidR="008A7ACA" w:rsidRDefault="008A7ACA">
      <w:pPr>
        <w:widowControl/>
        <w:wordWrap/>
        <w:autoSpaceDE/>
        <w:autoSpaceDN/>
        <w:rPr>
          <w:b/>
        </w:rPr>
      </w:pPr>
      <w:r>
        <w:rPr>
          <w:b/>
        </w:rPr>
        <w:br w:type="page"/>
      </w:r>
    </w:p>
    <w:p w:rsidR="008A7ACA" w:rsidRPr="00FE5703" w:rsidRDefault="008A7ACA" w:rsidP="008A7ACA">
      <w:pPr>
        <w:tabs>
          <w:tab w:val="left" w:pos="1780"/>
        </w:tabs>
        <w:jc w:val="center"/>
        <w:rPr>
          <w:b/>
        </w:rPr>
      </w:pPr>
      <w:r w:rsidRPr="00FE5703">
        <w:rPr>
          <w:b/>
        </w:rPr>
        <w:lastRenderedPageBreak/>
        <w:t>COVID-19의 치료에 대한 향후 전망</w:t>
      </w:r>
    </w:p>
    <w:p w:rsidR="008A7ACA" w:rsidRPr="00FE5703" w:rsidRDefault="008A7ACA" w:rsidP="008A7ACA">
      <w:pPr>
        <w:tabs>
          <w:tab w:val="left" w:pos="1780"/>
        </w:tabs>
      </w:pPr>
    </w:p>
    <w:p w:rsidR="008A7ACA" w:rsidRPr="00FE5703" w:rsidRDefault="008A7ACA" w:rsidP="008A7ACA">
      <w:pPr>
        <w:tabs>
          <w:tab w:val="left" w:pos="1780"/>
        </w:tabs>
      </w:pPr>
      <w:r w:rsidRPr="00FE5703">
        <w:rPr>
          <w:rFonts w:hint="eastAsia"/>
        </w:rPr>
        <w:t>환자들은</w:t>
      </w:r>
      <w:r w:rsidRPr="00FE5703">
        <w:t xml:space="preserve"> 새로운 치료적 접근들에 대한 기대를 할 수 있을 것이다. COVID-19와 관련하여 다음과 같은 몇 가지 시도들이 현재 연구 개발이 진행 중이다: (1) 예방접종18, (2) chloroquine/</w:t>
      </w:r>
      <w:proofErr w:type="spellStart"/>
      <w:r w:rsidRPr="00FE5703">
        <w:t>hydroxychloroquine</w:t>
      </w:r>
      <w:proofErr w:type="spellEnd"/>
      <w:r w:rsidRPr="00FE5703">
        <w:t xml:space="preserve"> 19이나 baricitinib20과 같은 기존 약제들의 새로운 치료목적으로의 재활용, (3) 수용성 angiotensin converting enzyme-221,22와 같은 새로운 약제 또는 remdesivir23와 같</w:t>
      </w:r>
      <w:r w:rsidRPr="00FE5703">
        <w:rPr>
          <w:rFonts w:hint="eastAsia"/>
        </w:rPr>
        <w:t>은</w:t>
      </w:r>
      <w:r w:rsidRPr="00FE5703">
        <w:t xml:space="preserve"> 항바이러스제의 개발. 이들 중, chloroquine을 새로운 치료목적으로 재활용하는 것이 현재로서는 가장 유망한 접근으로 보이는데, 이 약제는 </w:t>
      </w:r>
      <w:proofErr w:type="spellStart"/>
      <w:r w:rsidRPr="00FE5703">
        <w:t>항말라리아</w:t>
      </w:r>
      <w:proofErr w:type="spellEnd"/>
      <w:r w:rsidRPr="00FE5703">
        <w:t xml:space="preserve"> 치료제로, 그리고 전신홍반성루푸스와 같은 면역매개질환들의 치료제로 심각한 부작용 없이 이미 사용되고 있으며 실험실 연구 자료 및 생체연구결과 모두 SARS-CoV-2를 억제하는데 효과가 있음을 뒷받침하고 있다19,24,25.</w:t>
      </w:r>
    </w:p>
    <w:p w:rsidR="008A7ACA" w:rsidRDefault="008A7ACA" w:rsidP="008A7ACA">
      <w:pPr>
        <w:widowControl/>
        <w:wordWrap/>
        <w:jc w:val="left"/>
        <w:rPr>
          <w:b/>
        </w:rPr>
      </w:pPr>
      <w:r>
        <w:rPr>
          <w:b/>
        </w:rPr>
        <w:br w:type="page"/>
      </w:r>
    </w:p>
    <w:p w:rsidR="008A7ACA" w:rsidRDefault="008A7ACA" w:rsidP="008A7ACA">
      <w:pPr>
        <w:tabs>
          <w:tab w:val="left" w:pos="2304"/>
        </w:tabs>
        <w:jc w:val="center"/>
        <w:rPr>
          <w:b/>
        </w:rPr>
      </w:pPr>
      <w:r>
        <w:rPr>
          <w:rFonts w:hint="eastAsia"/>
          <w:b/>
        </w:rPr>
        <w:lastRenderedPageBreak/>
        <w:t>&lt;환우를 위한 권고사항&gt;</w:t>
      </w:r>
    </w:p>
    <w:p w:rsidR="008A7ACA" w:rsidRDefault="008A7ACA" w:rsidP="008A7ACA">
      <w:pPr>
        <w:widowControl/>
        <w:wordWrap/>
        <w:jc w:val="center"/>
        <w:rPr>
          <w:b/>
        </w:rPr>
      </w:pPr>
    </w:p>
    <w:p w:rsidR="008A7ACA" w:rsidRPr="00FE5703" w:rsidRDefault="008A7ACA" w:rsidP="008A7ACA">
      <w:pPr>
        <w:widowControl/>
        <w:wordWrap/>
        <w:jc w:val="center"/>
        <w:rPr>
          <w:b/>
        </w:rPr>
      </w:pPr>
      <w:r w:rsidRPr="00FE5703">
        <w:rPr>
          <w:rFonts w:hint="eastAsia"/>
          <w:b/>
        </w:rPr>
        <w:t>코로나바이러스</w:t>
      </w:r>
      <w:r w:rsidRPr="00FE5703">
        <w:rPr>
          <w:b/>
        </w:rPr>
        <w:t xml:space="preserve"> </w:t>
      </w:r>
      <w:proofErr w:type="spellStart"/>
      <w:r w:rsidRPr="00FE5703">
        <w:rPr>
          <w:b/>
        </w:rPr>
        <w:t>감염증에</w:t>
      </w:r>
      <w:proofErr w:type="spellEnd"/>
      <w:r w:rsidRPr="00FE5703">
        <w:rPr>
          <w:b/>
        </w:rPr>
        <w:t xml:space="preserve"> 대한 </w:t>
      </w:r>
      <w:proofErr w:type="spellStart"/>
      <w:r w:rsidRPr="00FE5703">
        <w:rPr>
          <w:b/>
        </w:rPr>
        <w:t>국제베체트병학회</w:t>
      </w:r>
      <w:proofErr w:type="spellEnd"/>
      <w:r w:rsidRPr="00FE5703">
        <w:rPr>
          <w:b/>
        </w:rPr>
        <w:t xml:space="preserve"> 권고사항</w:t>
      </w:r>
    </w:p>
    <w:p w:rsidR="008A7ACA" w:rsidRPr="00FE5703" w:rsidRDefault="008A7ACA" w:rsidP="008A7ACA">
      <w:pPr>
        <w:widowControl/>
        <w:wordWrap/>
        <w:jc w:val="left"/>
      </w:pPr>
    </w:p>
    <w:p w:rsidR="008A7ACA" w:rsidRPr="00FE5703" w:rsidRDefault="008A7ACA" w:rsidP="008A7ACA">
      <w:pPr>
        <w:widowControl/>
        <w:tabs>
          <w:tab w:val="left" w:pos="426"/>
        </w:tabs>
        <w:wordWrap/>
      </w:pPr>
      <w:r w:rsidRPr="00FE5703">
        <w:t>1.</w:t>
      </w:r>
      <w:r w:rsidRPr="00FE5703">
        <w:tab/>
        <w:t xml:space="preserve">사회적 격리. 상대방과의 거리는 약 2미터의 간격을 두며, 되도록 집에서 거주해야 합니다. 5-10 인 이상의 사람이 모이는 것은 피하여야 하며, 가족이 아닌 사람들과의 접촉은 최소한으로 줄여야 합니다. </w:t>
      </w:r>
    </w:p>
    <w:p w:rsidR="008A7ACA" w:rsidRPr="00FE5703" w:rsidRDefault="008A7ACA" w:rsidP="008A7ACA">
      <w:pPr>
        <w:widowControl/>
        <w:tabs>
          <w:tab w:val="left" w:pos="426"/>
        </w:tabs>
        <w:wordWrap/>
      </w:pPr>
      <w:r w:rsidRPr="00FE5703">
        <w:t>2.</w:t>
      </w:r>
      <w:r w:rsidRPr="00FE5703">
        <w:tab/>
        <w:t xml:space="preserve">여행을 제한하고 병원과의 접촉을 제한. 긴급한 상황이 아닌 경우 병원 방문은 피하고 전화로 상담을 하는 것을 추천합니다. 특히 바이러스 전파가 적은 지역의 환자들은 바이러스 전파가 많은 지역으로의 여행을 자제하며, 의료 시설이 충분하지 않은 곳으로의 여행 역시 자제해야 합니다. </w:t>
      </w:r>
    </w:p>
    <w:p w:rsidR="008A7ACA" w:rsidRPr="00FE5703" w:rsidRDefault="008A7ACA" w:rsidP="008A7ACA">
      <w:pPr>
        <w:widowControl/>
        <w:tabs>
          <w:tab w:val="left" w:pos="426"/>
        </w:tabs>
        <w:wordWrap/>
      </w:pPr>
      <w:r w:rsidRPr="00FE5703">
        <w:t>3.</w:t>
      </w:r>
      <w:r w:rsidRPr="00FE5703">
        <w:tab/>
        <w:t>적절한 위생 원칙 준수하여 되도록 자주 손을 씻어야 합니다. 알코올을 함유한 세정제로 20초 이상 손을 닦거나 비누를 이용해 세척해야 합니다. 세정제는 알콜 함유량이 60% 이상이어야 합니다. 얼굴, 눈과 코를 만지는 것을 피해야 합니다.</w:t>
      </w:r>
    </w:p>
    <w:p w:rsidR="008A7ACA" w:rsidRPr="00FE5703" w:rsidRDefault="008A7ACA" w:rsidP="008A7ACA">
      <w:pPr>
        <w:widowControl/>
        <w:tabs>
          <w:tab w:val="left" w:pos="426"/>
        </w:tabs>
        <w:wordWrap/>
      </w:pPr>
      <w:r w:rsidRPr="00FE5703">
        <w:t>4.</w:t>
      </w:r>
      <w:r w:rsidRPr="00FE5703">
        <w:tab/>
        <w:t xml:space="preserve">자주 만지게 되는 표면을 정기적으로 소독해야 합니다. 지속적으로 접촉이 일어나는 거주 구역 및 가재 도구들을 알코올 함유 소독제로 소독해야 합니다. 엘리베이터 버튼이나 손잡이와 같이 공공 장소에서 많은 접촉이 일어나는 곳은 피하고, 사람과의 악수 등 역시 피해야 합니다.  만일 접촉이 필요한 경우 휴지나 소매 등으로 손이나 손가락을 덮은 상태에서 만져야 합니다. </w:t>
      </w:r>
    </w:p>
    <w:p w:rsidR="008A7ACA" w:rsidRPr="00FE5703" w:rsidRDefault="008A7ACA" w:rsidP="008A7ACA">
      <w:pPr>
        <w:widowControl/>
        <w:tabs>
          <w:tab w:val="left" w:pos="426"/>
        </w:tabs>
        <w:wordWrap/>
      </w:pPr>
      <w:r w:rsidRPr="00FE5703">
        <w:t>5.</w:t>
      </w:r>
      <w:r w:rsidRPr="00FE5703">
        <w:tab/>
        <w:t xml:space="preserve">응급 상황이 생길 경우 신고 또는 연락하여야 하는 전화 번호를 미리 알아두고, 거주 지역에서 요구하는 지침 (감염자와의 접촉 시 자가 격리 원칙, 증상에 따른 병원에서의 격리, </w:t>
      </w:r>
      <w:proofErr w:type="spellStart"/>
      <w:r w:rsidRPr="00FE5703">
        <w:t>유증상자의</w:t>
      </w:r>
      <w:proofErr w:type="spellEnd"/>
      <w:r w:rsidRPr="00FE5703">
        <w:t xml:space="preserve"> 격리 등)을 알고 있어야 합니다. </w:t>
      </w:r>
    </w:p>
    <w:p w:rsidR="008A7ACA" w:rsidRDefault="008A7ACA" w:rsidP="008A7ACA">
      <w:pPr>
        <w:widowControl/>
        <w:tabs>
          <w:tab w:val="left" w:pos="426"/>
        </w:tabs>
        <w:wordWrap/>
      </w:pPr>
      <w:r w:rsidRPr="00FE5703">
        <w:t>6.</w:t>
      </w:r>
      <w:r w:rsidRPr="00FE5703">
        <w:tab/>
        <w:t>약제의 중단은 의사와의 상담을 통해서만 이루어 져야 합니다. 감염자 중 중증 환자는 그렇지 않은 환자에 비해 고혈압, 호흡곤란, 심혈관계 이상 등이 같이 있을 위험이 약 2.36, 2.46, 3.42배 높았습니다.</w:t>
      </w:r>
    </w:p>
    <w:p w:rsidR="008A7ACA" w:rsidRDefault="008A7ACA">
      <w:pPr>
        <w:widowControl/>
        <w:wordWrap/>
        <w:autoSpaceDE/>
        <w:autoSpaceDN/>
      </w:pPr>
      <w:r>
        <w:br w:type="page"/>
      </w:r>
    </w:p>
    <w:p w:rsidR="008A7ACA" w:rsidRPr="00FE5703" w:rsidRDefault="008A7ACA" w:rsidP="008A7ACA">
      <w:pPr>
        <w:widowControl/>
        <w:tabs>
          <w:tab w:val="left" w:pos="426"/>
        </w:tabs>
        <w:wordWrap/>
      </w:pPr>
    </w:p>
    <w:p w:rsidR="008A7ACA" w:rsidRPr="008A7ACA" w:rsidRDefault="008A7ACA" w:rsidP="008A7ACA">
      <w:pPr>
        <w:pStyle w:val="a3"/>
        <w:shd w:val="clear" w:color="auto" w:fill="FFFFFF"/>
        <w:jc w:val="both"/>
        <w:rPr>
          <w:rFonts w:asciiTheme="majorHAnsi" w:eastAsiaTheme="majorHAnsi" w:hAnsiTheme="majorHAnsi" w:cs="Arial"/>
          <w:b/>
          <w:sz w:val="20"/>
          <w:szCs w:val="21"/>
        </w:rPr>
      </w:pPr>
      <w:bookmarkStart w:id="0" w:name="_GoBack"/>
      <w:r w:rsidRPr="008A7ACA">
        <w:rPr>
          <w:rFonts w:asciiTheme="majorHAnsi" w:eastAsiaTheme="majorHAnsi" w:hAnsiTheme="majorHAnsi" w:cs="Arial" w:hint="eastAsia"/>
          <w:b/>
          <w:sz w:val="20"/>
          <w:szCs w:val="21"/>
        </w:rPr>
        <w:t>참고문헌</w:t>
      </w:r>
    </w:p>
    <w:bookmarkEnd w:id="0"/>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1.         Yang J, Zheng Y, Gou X, et al. Prevalence of comorbidities in the novel Wuhan coronavirus (COVID-19) infection: a systematic review and meta-analysis. </w:t>
      </w:r>
      <w:proofErr w:type="spellStart"/>
      <w:r>
        <w:rPr>
          <w:rStyle w:val="a5"/>
          <w:rFonts w:ascii="Arial" w:hAnsi="Arial" w:cs="Arial"/>
          <w:sz w:val="21"/>
          <w:szCs w:val="21"/>
        </w:rPr>
        <w:t>Int</w:t>
      </w:r>
      <w:proofErr w:type="spellEnd"/>
      <w:r>
        <w:rPr>
          <w:rStyle w:val="a5"/>
          <w:rFonts w:ascii="Arial" w:hAnsi="Arial" w:cs="Arial"/>
          <w:sz w:val="21"/>
          <w:szCs w:val="21"/>
        </w:rPr>
        <w:t xml:space="preserve"> J Infect Dis</w:t>
      </w:r>
      <w:r>
        <w:rPr>
          <w:rFonts w:ascii="Arial" w:hAnsi="Arial" w:cs="Arial"/>
          <w:sz w:val="21"/>
          <w:szCs w:val="21"/>
        </w:rPr>
        <w:t xml:space="preserve">. </w:t>
      </w:r>
      <w:proofErr w:type="spellStart"/>
      <w:r>
        <w:rPr>
          <w:rFonts w:ascii="Arial" w:hAnsi="Arial" w:cs="Arial"/>
          <w:sz w:val="21"/>
          <w:szCs w:val="21"/>
        </w:rPr>
        <w:t>Epub</w:t>
      </w:r>
      <w:proofErr w:type="spellEnd"/>
      <w:r>
        <w:rPr>
          <w:rFonts w:ascii="Arial" w:hAnsi="Arial" w:cs="Arial"/>
          <w:sz w:val="21"/>
          <w:szCs w:val="21"/>
        </w:rPr>
        <w:t xml:space="preserve"> ahead of print 12 March 2020. DOI: 10.1016/j.ijid.2020.03.017.</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2.         </w:t>
      </w:r>
      <w:proofErr w:type="spellStart"/>
      <w:r>
        <w:rPr>
          <w:rFonts w:ascii="Arial" w:hAnsi="Arial" w:cs="Arial"/>
          <w:sz w:val="21"/>
          <w:szCs w:val="21"/>
        </w:rPr>
        <w:t>Mizumoto</w:t>
      </w:r>
      <w:proofErr w:type="spellEnd"/>
      <w:r>
        <w:rPr>
          <w:rFonts w:ascii="Arial" w:hAnsi="Arial" w:cs="Arial"/>
          <w:sz w:val="21"/>
          <w:szCs w:val="21"/>
        </w:rPr>
        <w:t xml:space="preserve"> K, </w:t>
      </w:r>
      <w:proofErr w:type="spellStart"/>
      <w:r>
        <w:rPr>
          <w:rFonts w:ascii="Arial" w:hAnsi="Arial" w:cs="Arial"/>
          <w:sz w:val="21"/>
          <w:szCs w:val="21"/>
        </w:rPr>
        <w:t>Kagaya</w:t>
      </w:r>
      <w:proofErr w:type="spellEnd"/>
      <w:r>
        <w:rPr>
          <w:rFonts w:ascii="Arial" w:hAnsi="Arial" w:cs="Arial"/>
          <w:sz w:val="21"/>
          <w:szCs w:val="21"/>
        </w:rPr>
        <w:t xml:space="preserve"> K, </w:t>
      </w:r>
      <w:proofErr w:type="spellStart"/>
      <w:r>
        <w:rPr>
          <w:rFonts w:ascii="Arial" w:hAnsi="Arial" w:cs="Arial"/>
          <w:sz w:val="21"/>
          <w:szCs w:val="21"/>
        </w:rPr>
        <w:t>Zarebski</w:t>
      </w:r>
      <w:proofErr w:type="spellEnd"/>
      <w:r>
        <w:rPr>
          <w:rFonts w:ascii="Arial" w:hAnsi="Arial" w:cs="Arial"/>
          <w:sz w:val="21"/>
          <w:szCs w:val="21"/>
        </w:rPr>
        <w:t xml:space="preserve"> A, et al. Estimating the asymptomatic proportion of coronavirus disease 2019 (COVID-19) cases on board the Diamond Princess cruise ship, Yokohama, Japan, 2020. </w:t>
      </w:r>
      <w:proofErr w:type="spellStart"/>
      <w:r>
        <w:rPr>
          <w:rStyle w:val="a5"/>
          <w:rFonts w:ascii="Arial" w:hAnsi="Arial" w:cs="Arial"/>
          <w:sz w:val="21"/>
          <w:szCs w:val="21"/>
        </w:rPr>
        <w:t>Eurosurveillance</w:t>
      </w:r>
      <w:proofErr w:type="spellEnd"/>
      <w:r>
        <w:rPr>
          <w:rFonts w:ascii="Arial" w:hAnsi="Arial" w:cs="Arial"/>
          <w:sz w:val="21"/>
          <w:szCs w:val="21"/>
        </w:rPr>
        <w:t xml:space="preserve"> 2020; 25: 2000180.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3.         Nishiura H, Kobayashi T, Suzuki A, et al. Journal Pre-</w:t>
      </w:r>
      <w:proofErr w:type="gramStart"/>
      <w:r>
        <w:rPr>
          <w:rFonts w:ascii="Arial" w:hAnsi="Arial" w:cs="Arial"/>
          <w:sz w:val="21"/>
          <w:szCs w:val="21"/>
        </w:rPr>
        <w:t>proof</w:t>
      </w:r>
      <w:proofErr w:type="gramEnd"/>
      <w:r>
        <w:rPr>
          <w:rFonts w:ascii="Arial" w:hAnsi="Arial" w:cs="Arial"/>
          <w:sz w:val="21"/>
          <w:szCs w:val="21"/>
        </w:rPr>
        <w:t xml:space="preserve"> Estimation of the asymptomatic ratio of novel coronavirus infections (COVID-19). </w:t>
      </w:r>
      <w:proofErr w:type="spellStart"/>
      <w:r>
        <w:rPr>
          <w:rStyle w:val="a5"/>
          <w:rFonts w:ascii="Arial" w:hAnsi="Arial" w:cs="Arial"/>
          <w:sz w:val="21"/>
          <w:szCs w:val="21"/>
        </w:rPr>
        <w:t>Int</w:t>
      </w:r>
      <w:proofErr w:type="spellEnd"/>
      <w:r>
        <w:rPr>
          <w:rStyle w:val="a5"/>
          <w:rFonts w:ascii="Arial" w:hAnsi="Arial" w:cs="Arial"/>
          <w:sz w:val="21"/>
          <w:szCs w:val="21"/>
        </w:rPr>
        <w:t xml:space="preserve"> J Infect Dis </w:t>
      </w:r>
      <w:proofErr w:type="gramStart"/>
      <w:r>
        <w:rPr>
          <w:rStyle w:val="a5"/>
          <w:rFonts w:ascii="Arial" w:hAnsi="Arial" w:cs="Arial"/>
          <w:sz w:val="21"/>
          <w:szCs w:val="21"/>
        </w:rPr>
        <w:t>To</w:t>
      </w:r>
      <w:proofErr w:type="gramEnd"/>
      <w:r>
        <w:rPr>
          <w:rFonts w:ascii="Arial" w:hAnsi="Arial" w:cs="Arial"/>
          <w:sz w:val="21"/>
          <w:szCs w:val="21"/>
        </w:rPr>
        <w:t xml:space="preserve">. </w:t>
      </w:r>
      <w:proofErr w:type="spellStart"/>
      <w:r>
        <w:rPr>
          <w:rFonts w:ascii="Arial" w:hAnsi="Arial" w:cs="Arial"/>
          <w:sz w:val="21"/>
          <w:szCs w:val="21"/>
        </w:rPr>
        <w:t>Epub</w:t>
      </w:r>
      <w:proofErr w:type="spellEnd"/>
      <w:r>
        <w:rPr>
          <w:rFonts w:ascii="Arial" w:hAnsi="Arial" w:cs="Arial"/>
          <w:sz w:val="21"/>
          <w:szCs w:val="21"/>
        </w:rPr>
        <w:t xml:space="preserve"> ahead of print 2020. DOI: 10.1016/j.ijid.2020.03.020.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4.         WHO | Coronavirus disease 2019, https://www.who.int/emergencies/diseases/novel-coronavirus-2019 (accessed 20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5.         European Centre for Disease Prevention and Control | COVID-19, https://www.ecdc.europa.eu/en (accessed 20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6.         CDC | Coronavirus Disease 2019 (COVID-19), https://www.cdc.gov/coronavirus/2019-nCoV/index.html (accessed 20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7.         EULAR | EULAR Guidance for patients COVID-19 outbreak, https://www.eular.org/eular_guidance_for_patients_covid19_outbreak.cfm (accessed 20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8.         ERA-EDTA: COVID-19 News and Information, https://www.era-edta.org/en/covid-19-news-and-information/ (accessed 20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9.         UK and Ireland Vasculitis Society (UKIVAS) · Statement on COVID-19 for patients with vasculitis, https://ukivas.ndorms.ox.ac.uk/ (accessed 20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10.       British Society for Rheumatology | Covid-19 (Coronavirus), https://www.rheumatology.org.uk/News-Policy/Details/Covid19-Coronavirus-update-members (accessed 25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11.       </w:t>
      </w:r>
      <w:proofErr w:type="spellStart"/>
      <w:r>
        <w:rPr>
          <w:rFonts w:ascii="Arial" w:hAnsi="Arial" w:cs="Arial"/>
          <w:sz w:val="21"/>
          <w:szCs w:val="21"/>
        </w:rPr>
        <w:t>DgRh</w:t>
      </w:r>
      <w:proofErr w:type="spellEnd"/>
      <w:r>
        <w:rPr>
          <w:rFonts w:ascii="Arial" w:hAnsi="Arial" w:cs="Arial"/>
          <w:sz w:val="21"/>
          <w:szCs w:val="21"/>
        </w:rPr>
        <w:t xml:space="preserve">: </w:t>
      </w:r>
      <w:proofErr w:type="spellStart"/>
      <w:r>
        <w:rPr>
          <w:rFonts w:ascii="Arial" w:hAnsi="Arial" w:cs="Arial"/>
          <w:sz w:val="21"/>
          <w:szCs w:val="21"/>
        </w:rPr>
        <w:t>Maßnahmen</w:t>
      </w:r>
      <w:proofErr w:type="spellEnd"/>
      <w:r>
        <w:rPr>
          <w:rFonts w:ascii="Arial" w:hAnsi="Arial" w:cs="Arial"/>
          <w:sz w:val="21"/>
          <w:szCs w:val="21"/>
        </w:rPr>
        <w:t xml:space="preserve"> in </w:t>
      </w:r>
      <w:proofErr w:type="spellStart"/>
      <w:r>
        <w:rPr>
          <w:rFonts w:ascii="Arial" w:hAnsi="Arial" w:cs="Arial"/>
          <w:sz w:val="21"/>
          <w:szCs w:val="21"/>
        </w:rPr>
        <w:t>Zusammenhang</w:t>
      </w:r>
      <w:proofErr w:type="spellEnd"/>
      <w:r>
        <w:rPr>
          <w:rFonts w:ascii="Arial" w:hAnsi="Arial" w:cs="Arial"/>
          <w:sz w:val="21"/>
          <w:szCs w:val="21"/>
        </w:rPr>
        <w:t xml:space="preserve"> </w:t>
      </w:r>
      <w:proofErr w:type="spellStart"/>
      <w:r>
        <w:rPr>
          <w:rFonts w:ascii="Arial" w:hAnsi="Arial" w:cs="Arial"/>
          <w:sz w:val="21"/>
          <w:szCs w:val="21"/>
        </w:rPr>
        <w:t>mit</w:t>
      </w:r>
      <w:proofErr w:type="spellEnd"/>
      <w:r>
        <w:rPr>
          <w:rFonts w:ascii="Arial" w:hAnsi="Arial" w:cs="Arial"/>
          <w:sz w:val="21"/>
          <w:szCs w:val="21"/>
        </w:rPr>
        <w:t xml:space="preserve"> den </w:t>
      </w:r>
      <w:proofErr w:type="spellStart"/>
      <w:r>
        <w:rPr>
          <w:rFonts w:ascii="Arial" w:hAnsi="Arial" w:cs="Arial"/>
          <w:sz w:val="21"/>
          <w:szCs w:val="21"/>
        </w:rPr>
        <w:t>Infektionsrisiken</w:t>
      </w:r>
      <w:proofErr w:type="spellEnd"/>
      <w:r>
        <w:rPr>
          <w:rFonts w:ascii="Arial" w:hAnsi="Arial" w:cs="Arial"/>
          <w:sz w:val="21"/>
          <w:szCs w:val="21"/>
        </w:rPr>
        <w:t xml:space="preserve"> </w:t>
      </w:r>
      <w:proofErr w:type="spellStart"/>
      <w:r>
        <w:rPr>
          <w:rFonts w:ascii="Arial" w:hAnsi="Arial" w:cs="Arial"/>
          <w:sz w:val="21"/>
          <w:szCs w:val="21"/>
        </w:rPr>
        <w:t>durch</w:t>
      </w:r>
      <w:proofErr w:type="spellEnd"/>
      <w:r>
        <w:rPr>
          <w:rFonts w:ascii="Arial" w:hAnsi="Arial" w:cs="Arial"/>
          <w:sz w:val="21"/>
          <w:szCs w:val="21"/>
        </w:rPr>
        <w:t xml:space="preserve"> COVID-19, https://dgrh.de/Aktuelles/Maßnahmen-in-Zusammenhang-mit-den-Infektionsrisiken-durch-COVID-19.html (accessed 20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12.       ÖGR - </w:t>
      </w:r>
      <w:proofErr w:type="spellStart"/>
      <w:r>
        <w:rPr>
          <w:rFonts w:ascii="Arial" w:hAnsi="Arial" w:cs="Arial"/>
          <w:sz w:val="21"/>
          <w:szCs w:val="21"/>
        </w:rPr>
        <w:t>Österreichische</w:t>
      </w:r>
      <w:proofErr w:type="spellEnd"/>
      <w:r>
        <w:rPr>
          <w:rFonts w:ascii="Arial" w:hAnsi="Arial" w:cs="Arial"/>
          <w:sz w:val="21"/>
          <w:szCs w:val="21"/>
        </w:rPr>
        <w:t xml:space="preserve"> </w:t>
      </w:r>
      <w:proofErr w:type="spellStart"/>
      <w:r>
        <w:rPr>
          <w:rFonts w:ascii="Arial" w:hAnsi="Arial" w:cs="Arial"/>
          <w:sz w:val="21"/>
          <w:szCs w:val="21"/>
        </w:rPr>
        <w:t>Gesellschaft</w:t>
      </w:r>
      <w:proofErr w:type="spellEnd"/>
      <w:r>
        <w:rPr>
          <w:rFonts w:ascii="Arial" w:hAnsi="Arial" w:cs="Arial"/>
          <w:sz w:val="21"/>
          <w:szCs w:val="21"/>
        </w:rPr>
        <w:t xml:space="preserve"> </w:t>
      </w:r>
      <w:proofErr w:type="spellStart"/>
      <w:r>
        <w:rPr>
          <w:rFonts w:ascii="Arial" w:hAnsi="Arial" w:cs="Arial"/>
          <w:sz w:val="21"/>
          <w:szCs w:val="21"/>
        </w:rPr>
        <w:t>für</w:t>
      </w:r>
      <w:proofErr w:type="spellEnd"/>
      <w:r>
        <w:rPr>
          <w:rFonts w:ascii="Arial" w:hAnsi="Arial" w:cs="Arial"/>
          <w:sz w:val="21"/>
          <w:szCs w:val="21"/>
        </w:rPr>
        <w:t xml:space="preserve"> </w:t>
      </w:r>
      <w:proofErr w:type="spellStart"/>
      <w:r>
        <w:rPr>
          <w:rFonts w:ascii="Arial" w:hAnsi="Arial" w:cs="Arial"/>
          <w:sz w:val="21"/>
          <w:szCs w:val="21"/>
        </w:rPr>
        <w:t>Rheumatologie</w:t>
      </w:r>
      <w:proofErr w:type="spellEnd"/>
      <w:r>
        <w:rPr>
          <w:rFonts w:ascii="Arial" w:hAnsi="Arial" w:cs="Arial"/>
          <w:sz w:val="21"/>
          <w:szCs w:val="21"/>
        </w:rPr>
        <w:t xml:space="preserve"> &amp; Rehabilitation, https://rheumatologie.at/gesellschaft/covid-19/ (accessed 20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13.       </w:t>
      </w:r>
      <w:proofErr w:type="spellStart"/>
      <w:r>
        <w:rPr>
          <w:rFonts w:ascii="Arial" w:hAnsi="Arial" w:cs="Arial"/>
          <w:sz w:val="21"/>
          <w:szCs w:val="21"/>
        </w:rPr>
        <w:t>Nederlandse</w:t>
      </w:r>
      <w:proofErr w:type="spellEnd"/>
      <w:r>
        <w:rPr>
          <w:rFonts w:ascii="Arial" w:hAnsi="Arial" w:cs="Arial"/>
          <w:sz w:val="21"/>
          <w:szCs w:val="21"/>
        </w:rPr>
        <w:t xml:space="preserve"> </w:t>
      </w:r>
      <w:proofErr w:type="spellStart"/>
      <w:r>
        <w:rPr>
          <w:rFonts w:ascii="Arial" w:hAnsi="Arial" w:cs="Arial"/>
          <w:sz w:val="21"/>
          <w:szCs w:val="21"/>
        </w:rPr>
        <w:t>Vereiniging</w:t>
      </w:r>
      <w:proofErr w:type="spellEnd"/>
      <w:r>
        <w:rPr>
          <w:rFonts w:ascii="Arial" w:hAnsi="Arial" w:cs="Arial"/>
          <w:sz w:val="21"/>
          <w:szCs w:val="21"/>
        </w:rPr>
        <w:t xml:space="preserve"> </w:t>
      </w:r>
      <w:proofErr w:type="spellStart"/>
      <w:r>
        <w:rPr>
          <w:rFonts w:ascii="Arial" w:hAnsi="Arial" w:cs="Arial"/>
          <w:sz w:val="21"/>
          <w:szCs w:val="21"/>
        </w:rPr>
        <w:t>voor</w:t>
      </w:r>
      <w:proofErr w:type="spellEnd"/>
      <w:r>
        <w:rPr>
          <w:rFonts w:ascii="Arial" w:hAnsi="Arial" w:cs="Arial"/>
          <w:sz w:val="21"/>
          <w:szCs w:val="21"/>
        </w:rPr>
        <w:t xml:space="preserve"> </w:t>
      </w:r>
      <w:proofErr w:type="spellStart"/>
      <w:r>
        <w:rPr>
          <w:rFonts w:ascii="Arial" w:hAnsi="Arial" w:cs="Arial"/>
          <w:sz w:val="21"/>
          <w:szCs w:val="21"/>
        </w:rPr>
        <w:t>Rheumatologie</w:t>
      </w:r>
      <w:proofErr w:type="spellEnd"/>
      <w:r>
        <w:rPr>
          <w:rFonts w:ascii="Arial" w:hAnsi="Arial" w:cs="Arial"/>
          <w:sz w:val="21"/>
          <w:szCs w:val="21"/>
        </w:rPr>
        <w:t xml:space="preserve">: </w:t>
      </w:r>
      <w:proofErr w:type="spellStart"/>
      <w:r>
        <w:rPr>
          <w:rFonts w:ascii="Arial" w:hAnsi="Arial" w:cs="Arial"/>
          <w:sz w:val="21"/>
          <w:szCs w:val="21"/>
        </w:rPr>
        <w:t>Veel</w:t>
      </w:r>
      <w:proofErr w:type="spellEnd"/>
      <w:r>
        <w:rPr>
          <w:rFonts w:ascii="Arial" w:hAnsi="Arial" w:cs="Arial"/>
          <w:sz w:val="21"/>
          <w:szCs w:val="21"/>
        </w:rPr>
        <w:t xml:space="preserve"> </w:t>
      </w:r>
      <w:proofErr w:type="spellStart"/>
      <w:r>
        <w:rPr>
          <w:rFonts w:ascii="Arial" w:hAnsi="Arial" w:cs="Arial"/>
          <w:sz w:val="21"/>
          <w:szCs w:val="21"/>
        </w:rPr>
        <w:t>gestelde</w:t>
      </w:r>
      <w:proofErr w:type="spellEnd"/>
      <w:r>
        <w:rPr>
          <w:rFonts w:ascii="Arial" w:hAnsi="Arial" w:cs="Arial"/>
          <w:sz w:val="21"/>
          <w:szCs w:val="21"/>
        </w:rPr>
        <w:t xml:space="preserve"> </w:t>
      </w:r>
      <w:proofErr w:type="spellStart"/>
      <w:r>
        <w:rPr>
          <w:rFonts w:ascii="Arial" w:hAnsi="Arial" w:cs="Arial"/>
          <w:sz w:val="21"/>
          <w:szCs w:val="21"/>
        </w:rPr>
        <w:t>vragen</w:t>
      </w:r>
      <w:proofErr w:type="spellEnd"/>
      <w:r>
        <w:rPr>
          <w:rFonts w:ascii="Arial" w:hAnsi="Arial" w:cs="Arial"/>
          <w:sz w:val="21"/>
          <w:szCs w:val="21"/>
        </w:rPr>
        <w:t>, https://www.nvr.nl/wp-content/uploads/2020/03/FAQ-1.pdf (accessed 22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14.       WHO: Coronavirus disease (COVID-19) outbreak: Rights, roles and responsibilities of health </w:t>
      </w:r>
      <w:proofErr w:type="gramStart"/>
      <w:r>
        <w:rPr>
          <w:rFonts w:ascii="Arial" w:hAnsi="Arial" w:cs="Arial"/>
          <w:sz w:val="21"/>
          <w:szCs w:val="21"/>
        </w:rPr>
        <w:t>workers ,</w:t>
      </w:r>
      <w:proofErr w:type="gramEnd"/>
      <w:r>
        <w:rPr>
          <w:rFonts w:ascii="Arial" w:hAnsi="Arial" w:cs="Arial"/>
          <w:sz w:val="21"/>
          <w:szCs w:val="21"/>
        </w:rPr>
        <w:t xml:space="preserve"> including key considerations for occupational safety and health, https://www.who.int/docs/default-source/coronaviruse/who-rights-roles-respon-hw-covid-19.pdf?sfvrsn=bcabd401_0 (accessed 19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lastRenderedPageBreak/>
        <w:t xml:space="preserve">15.       </w:t>
      </w:r>
      <w:proofErr w:type="spellStart"/>
      <w:r>
        <w:rPr>
          <w:rFonts w:ascii="Arial" w:hAnsi="Arial" w:cs="Arial"/>
          <w:sz w:val="21"/>
          <w:szCs w:val="21"/>
        </w:rPr>
        <w:t>Kampf</w:t>
      </w:r>
      <w:proofErr w:type="spellEnd"/>
      <w:r>
        <w:rPr>
          <w:rFonts w:ascii="Arial" w:hAnsi="Arial" w:cs="Arial"/>
          <w:sz w:val="21"/>
          <w:szCs w:val="21"/>
        </w:rPr>
        <w:t xml:space="preserve"> G, </w:t>
      </w:r>
      <w:proofErr w:type="spellStart"/>
      <w:r>
        <w:rPr>
          <w:rFonts w:ascii="Arial" w:hAnsi="Arial" w:cs="Arial"/>
          <w:sz w:val="21"/>
          <w:szCs w:val="21"/>
        </w:rPr>
        <w:t>Todt</w:t>
      </w:r>
      <w:proofErr w:type="spellEnd"/>
      <w:r>
        <w:rPr>
          <w:rFonts w:ascii="Arial" w:hAnsi="Arial" w:cs="Arial"/>
          <w:sz w:val="21"/>
          <w:szCs w:val="21"/>
        </w:rPr>
        <w:t xml:space="preserve"> D, </w:t>
      </w:r>
      <w:proofErr w:type="spellStart"/>
      <w:r>
        <w:rPr>
          <w:rFonts w:ascii="Arial" w:hAnsi="Arial" w:cs="Arial"/>
          <w:sz w:val="21"/>
          <w:szCs w:val="21"/>
        </w:rPr>
        <w:t>Pfaender</w:t>
      </w:r>
      <w:proofErr w:type="spellEnd"/>
      <w:r>
        <w:rPr>
          <w:rFonts w:ascii="Arial" w:hAnsi="Arial" w:cs="Arial"/>
          <w:sz w:val="21"/>
          <w:szCs w:val="21"/>
        </w:rPr>
        <w:t xml:space="preserve"> S, et al. Persistence of coronaviruses on inanimate surfaces and their inactivation with biocidal agents. </w:t>
      </w:r>
      <w:proofErr w:type="spellStart"/>
      <w:r>
        <w:rPr>
          <w:rFonts w:ascii="Arial" w:hAnsi="Arial" w:cs="Arial"/>
          <w:sz w:val="21"/>
          <w:szCs w:val="21"/>
        </w:rPr>
        <w:t>Epub</w:t>
      </w:r>
      <w:proofErr w:type="spellEnd"/>
      <w:r>
        <w:rPr>
          <w:rFonts w:ascii="Arial" w:hAnsi="Arial" w:cs="Arial"/>
          <w:sz w:val="21"/>
          <w:szCs w:val="21"/>
        </w:rPr>
        <w:t xml:space="preserve"> ahead of print 2020. DOI: 10.1016/j.jhin.2020.01.022.</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16.       </w:t>
      </w:r>
      <w:proofErr w:type="spellStart"/>
      <w:r>
        <w:rPr>
          <w:rFonts w:ascii="Arial" w:hAnsi="Arial" w:cs="Arial"/>
          <w:sz w:val="21"/>
          <w:szCs w:val="21"/>
        </w:rPr>
        <w:t>Adhikari</w:t>
      </w:r>
      <w:proofErr w:type="spellEnd"/>
      <w:r>
        <w:rPr>
          <w:rFonts w:ascii="Arial" w:hAnsi="Arial" w:cs="Arial"/>
          <w:sz w:val="21"/>
          <w:szCs w:val="21"/>
        </w:rPr>
        <w:t xml:space="preserve"> SP, </w:t>
      </w:r>
      <w:proofErr w:type="spellStart"/>
      <w:r>
        <w:rPr>
          <w:rFonts w:ascii="Arial" w:hAnsi="Arial" w:cs="Arial"/>
          <w:sz w:val="21"/>
          <w:szCs w:val="21"/>
        </w:rPr>
        <w:t>Meng</w:t>
      </w:r>
      <w:proofErr w:type="spellEnd"/>
      <w:r>
        <w:rPr>
          <w:rFonts w:ascii="Arial" w:hAnsi="Arial" w:cs="Arial"/>
          <w:sz w:val="21"/>
          <w:szCs w:val="21"/>
        </w:rPr>
        <w:t xml:space="preserve"> S, Wu Y-J, et al. Epidemiology, causes, clinical manifestation and diagnosis, prevention and control of coronavirus disease (COVID-19) during the early outbreak period: a scoping review. </w:t>
      </w:r>
      <w:r>
        <w:rPr>
          <w:rStyle w:val="a5"/>
          <w:rFonts w:ascii="Arial" w:hAnsi="Arial" w:cs="Arial"/>
          <w:sz w:val="21"/>
          <w:szCs w:val="21"/>
        </w:rPr>
        <w:t>Infect Dis Poverty</w:t>
      </w:r>
      <w:r>
        <w:rPr>
          <w:rFonts w:ascii="Arial" w:hAnsi="Arial" w:cs="Arial"/>
          <w:sz w:val="21"/>
          <w:szCs w:val="21"/>
        </w:rPr>
        <w:t xml:space="preserve"> 2020; 9: 29.</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17.       Advice on the use of masks in the community, during home care and in healthcare settings in the context of the novel coronavirus (COVID-19) outbreak, https://www.who.int/publications-detail/advice-on-the-use-of-masks-in-the-community-during-home-care-and-in-healthcare-settings-in-the-context-of-the-novel-coronavirus-(2019-ncov)-outbreak (accessed 20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18.       Ahmed SF, </w:t>
      </w:r>
      <w:proofErr w:type="spellStart"/>
      <w:r>
        <w:rPr>
          <w:rFonts w:ascii="Arial" w:hAnsi="Arial" w:cs="Arial"/>
          <w:sz w:val="21"/>
          <w:szCs w:val="21"/>
        </w:rPr>
        <w:t>Quadeer</w:t>
      </w:r>
      <w:proofErr w:type="spellEnd"/>
      <w:r>
        <w:rPr>
          <w:rFonts w:ascii="Arial" w:hAnsi="Arial" w:cs="Arial"/>
          <w:sz w:val="21"/>
          <w:szCs w:val="21"/>
        </w:rPr>
        <w:t xml:space="preserve"> AA, McKay MR. Preliminary Identification of Potential Vaccine Targets for the COVID-19 Coronavirus (SARS-CoV-2) Based on SARS-</w:t>
      </w:r>
      <w:proofErr w:type="spellStart"/>
      <w:r>
        <w:rPr>
          <w:rFonts w:ascii="Arial" w:hAnsi="Arial" w:cs="Arial"/>
          <w:sz w:val="21"/>
          <w:szCs w:val="21"/>
        </w:rPr>
        <w:t>CoV</w:t>
      </w:r>
      <w:proofErr w:type="spellEnd"/>
      <w:r>
        <w:rPr>
          <w:rFonts w:ascii="Arial" w:hAnsi="Arial" w:cs="Arial"/>
          <w:sz w:val="21"/>
          <w:szCs w:val="21"/>
        </w:rPr>
        <w:t xml:space="preserve"> Immunological Studies. </w:t>
      </w:r>
      <w:r>
        <w:rPr>
          <w:rStyle w:val="a5"/>
          <w:rFonts w:ascii="Arial" w:hAnsi="Arial" w:cs="Arial"/>
          <w:sz w:val="21"/>
          <w:szCs w:val="21"/>
        </w:rPr>
        <w:t>Viruses</w:t>
      </w:r>
      <w:r>
        <w:rPr>
          <w:rFonts w:ascii="Arial" w:hAnsi="Arial" w:cs="Arial"/>
          <w:sz w:val="21"/>
          <w:szCs w:val="21"/>
        </w:rPr>
        <w:t xml:space="preserve"> 2020; 12: 254.</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19.       </w:t>
      </w:r>
      <w:proofErr w:type="spellStart"/>
      <w:r>
        <w:rPr>
          <w:rFonts w:ascii="Arial" w:hAnsi="Arial" w:cs="Arial"/>
          <w:sz w:val="21"/>
          <w:szCs w:val="21"/>
        </w:rPr>
        <w:t>Cortegiani</w:t>
      </w:r>
      <w:proofErr w:type="spellEnd"/>
      <w:r>
        <w:rPr>
          <w:rFonts w:ascii="Arial" w:hAnsi="Arial" w:cs="Arial"/>
          <w:sz w:val="21"/>
          <w:szCs w:val="21"/>
        </w:rPr>
        <w:t xml:space="preserve"> A, </w:t>
      </w:r>
      <w:proofErr w:type="spellStart"/>
      <w:r>
        <w:rPr>
          <w:rFonts w:ascii="Arial" w:hAnsi="Arial" w:cs="Arial"/>
          <w:sz w:val="21"/>
          <w:szCs w:val="21"/>
        </w:rPr>
        <w:t>Ingoglia</w:t>
      </w:r>
      <w:proofErr w:type="spellEnd"/>
      <w:r>
        <w:rPr>
          <w:rFonts w:ascii="Arial" w:hAnsi="Arial" w:cs="Arial"/>
          <w:sz w:val="21"/>
          <w:szCs w:val="21"/>
        </w:rPr>
        <w:t xml:space="preserve"> G, </w:t>
      </w:r>
      <w:proofErr w:type="spellStart"/>
      <w:r>
        <w:rPr>
          <w:rFonts w:ascii="Arial" w:hAnsi="Arial" w:cs="Arial"/>
          <w:sz w:val="21"/>
          <w:szCs w:val="21"/>
        </w:rPr>
        <w:t>Ippolito</w:t>
      </w:r>
      <w:proofErr w:type="spellEnd"/>
      <w:r>
        <w:rPr>
          <w:rFonts w:ascii="Arial" w:hAnsi="Arial" w:cs="Arial"/>
          <w:sz w:val="21"/>
          <w:szCs w:val="21"/>
        </w:rPr>
        <w:t xml:space="preserve"> M, et al. A systematic review on the efficacy and safety of chloroquine for the treatment of COVID-19. </w:t>
      </w:r>
      <w:r>
        <w:rPr>
          <w:rStyle w:val="a5"/>
          <w:rFonts w:ascii="Arial" w:hAnsi="Arial" w:cs="Arial"/>
          <w:sz w:val="21"/>
          <w:szCs w:val="21"/>
        </w:rPr>
        <w:t xml:space="preserve">J </w:t>
      </w:r>
      <w:proofErr w:type="spellStart"/>
      <w:r>
        <w:rPr>
          <w:rStyle w:val="a5"/>
          <w:rFonts w:ascii="Arial" w:hAnsi="Arial" w:cs="Arial"/>
          <w:sz w:val="21"/>
          <w:szCs w:val="21"/>
        </w:rPr>
        <w:t>Crit</w:t>
      </w:r>
      <w:proofErr w:type="spellEnd"/>
      <w:r>
        <w:rPr>
          <w:rStyle w:val="a5"/>
          <w:rFonts w:ascii="Arial" w:hAnsi="Arial" w:cs="Arial"/>
          <w:sz w:val="21"/>
          <w:szCs w:val="21"/>
        </w:rPr>
        <w:t xml:space="preserve"> Care</w:t>
      </w:r>
      <w:r>
        <w:rPr>
          <w:rFonts w:ascii="Arial" w:hAnsi="Arial" w:cs="Arial"/>
          <w:sz w:val="21"/>
          <w:szCs w:val="21"/>
        </w:rPr>
        <w:t xml:space="preserve">. </w:t>
      </w:r>
      <w:proofErr w:type="spellStart"/>
      <w:r>
        <w:rPr>
          <w:rFonts w:ascii="Arial" w:hAnsi="Arial" w:cs="Arial"/>
          <w:sz w:val="21"/>
          <w:szCs w:val="21"/>
        </w:rPr>
        <w:t>Epub</w:t>
      </w:r>
      <w:proofErr w:type="spellEnd"/>
      <w:r>
        <w:rPr>
          <w:rFonts w:ascii="Arial" w:hAnsi="Arial" w:cs="Arial"/>
          <w:sz w:val="21"/>
          <w:szCs w:val="21"/>
        </w:rPr>
        <w:t xml:space="preserve"> ahead of print 10 March 2020. DOI: 10.1016/j.jcrc.2020.03.005.</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20.       Richardson P, Griffin I, Tucker C, et al. </w:t>
      </w:r>
      <w:proofErr w:type="spellStart"/>
      <w:r>
        <w:rPr>
          <w:rFonts w:ascii="Arial" w:hAnsi="Arial" w:cs="Arial"/>
          <w:sz w:val="21"/>
          <w:szCs w:val="21"/>
        </w:rPr>
        <w:t>Baricitinib</w:t>
      </w:r>
      <w:proofErr w:type="spellEnd"/>
      <w:r>
        <w:rPr>
          <w:rFonts w:ascii="Arial" w:hAnsi="Arial" w:cs="Arial"/>
          <w:sz w:val="21"/>
          <w:szCs w:val="21"/>
        </w:rPr>
        <w:t xml:space="preserve"> as potential treatment for 2019-nCoV acute respiratory disease. </w:t>
      </w:r>
      <w:r>
        <w:rPr>
          <w:rStyle w:val="a5"/>
          <w:rFonts w:ascii="Arial" w:hAnsi="Arial" w:cs="Arial"/>
          <w:sz w:val="21"/>
          <w:szCs w:val="21"/>
        </w:rPr>
        <w:t>The Lancet</w:t>
      </w:r>
      <w:r>
        <w:rPr>
          <w:rFonts w:ascii="Arial" w:hAnsi="Arial" w:cs="Arial"/>
          <w:sz w:val="21"/>
          <w:szCs w:val="21"/>
        </w:rPr>
        <w:t xml:space="preserve"> 2020; 395: e30–e31.</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21.       Seeking a COVID-19 antidote: the potential of ACE2, https://healthcare-in-europe.com/en/news/seeking-a-covid-19-antidote-the-potential-of-ace2.html (accessed 19 March 2020).</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22.       </w:t>
      </w:r>
      <w:proofErr w:type="spellStart"/>
      <w:r>
        <w:rPr>
          <w:rFonts w:ascii="Arial" w:hAnsi="Arial" w:cs="Arial"/>
          <w:sz w:val="21"/>
          <w:szCs w:val="21"/>
        </w:rPr>
        <w:t>Gurwitz</w:t>
      </w:r>
      <w:proofErr w:type="spellEnd"/>
      <w:r>
        <w:rPr>
          <w:rFonts w:ascii="Arial" w:hAnsi="Arial" w:cs="Arial"/>
          <w:sz w:val="21"/>
          <w:szCs w:val="21"/>
        </w:rPr>
        <w:t xml:space="preserve"> D. Angiotensin receptor blockers as tentative SARS</w:t>
      </w:r>
      <w:r>
        <w:rPr>
          <w:rFonts w:ascii="Cambria Math" w:hAnsi="Cambria Math" w:cs="Cambria Math"/>
          <w:sz w:val="21"/>
          <w:szCs w:val="21"/>
        </w:rPr>
        <w:t>‐</w:t>
      </w:r>
      <w:r>
        <w:rPr>
          <w:rFonts w:ascii="Arial" w:hAnsi="Arial" w:cs="Arial"/>
          <w:sz w:val="21"/>
          <w:szCs w:val="21"/>
        </w:rPr>
        <w:t>CoV</w:t>
      </w:r>
      <w:r>
        <w:rPr>
          <w:rFonts w:ascii="Cambria Math" w:hAnsi="Cambria Math" w:cs="Cambria Math"/>
          <w:sz w:val="21"/>
          <w:szCs w:val="21"/>
        </w:rPr>
        <w:t>‐</w:t>
      </w:r>
      <w:r>
        <w:rPr>
          <w:rFonts w:ascii="Arial" w:hAnsi="Arial" w:cs="Arial"/>
          <w:sz w:val="21"/>
          <w:szCs w:val="21"/>
        </w:rPr>
        <w:t xml:space="preserve">2 therapeutics. </w:t>
      </w:r>
      <w:r>
        <w:rPr>
          <w:rStyle w:val="a5"/>
          <w:rFonts w:ascii="Arial" w:hAnsi="Arial" w:cs="Arial"/>
          <w:sz w:val="21"/>
          <w:szCs w:val="21"/>
        </w:rPr>
        <w:t>Drug Dev Res</w:t>
      </w:r>
      <w:r>
        <w:rPr>
          <w:rFonts w:ascii="Arial" w:hAnsi="Arial" w:cs="Arial"/>
          <w:sz w:val="21"/>
          <w:szCs w:val="21"/>
        </w:rPr>
        <w:t xml:space="preserve"> 2020; ddr.21656.</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23.       Wang M, Cao R, Zhang L, et al. </w:t>
      </w:r>
      <w:proofErr w:type="spellStart"/>
      <w:r>
        <w:rPr>
          <w:rFonts w:ascii="Arial" w:hAnsi="Arial" w:cs="Arial"/>
          <w:sz w:val="21"/>
          <w:szCs w:val="21"/>
        </w:rPr>
        <w:t>Remdesivir</w:t>
      </w:r>
      <w:proofErr w:type="spellEnd"/>
      <w:r>
        <w:rPr>
          <w:rFonts w:ascii="Arial" w:hAnsi="Arial" w:cs="Arial"/>
          <w:sz w:val="21"/>
          <w:szCs w:val="21"/>
        </w:rPr>
        <w:t xml:space="preserve"> and chloroquine effectively inhibit the recently emerged novel coronavirus (2019-nCoV) in vitro. </w:t>
      </w:r>
      <w:r>
        <w:rPr>
          <w:rStyle w:val="a5"/>
          <w:rFonts w:ascii="Arial" w:hAnsi="Arial" w:cs="Arial"/>
          <w:sz w:val="21"/>
          <w:szCs w:val="21"/>
        </w:rPr>
        <w:t>Cell Res</w:t>
      </w:r>
      <w:r>
        <w:rPr>
          <w:rFonts w:ascii="Arial" w:hAnsi="Arial" w:cs="Arial"/>
          <w:sz w:val="21"/>
          <w:szCs w:val="21"/>
        </w:rPr>
        <w:t xml:space="preserve"> 2020; 269–271.</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24.       Colson P, </w:t>
      </w:r>
      <w:proofErr w:type="spellStart"/>
      <w:r>
        <w:rPr>
          <w:rFonts w:ascii="Arial" w:hAnsi="Arial" w:cs="Arial"/>
          <w:sz w:val="21"/>
          <w:szCs w:val="21"/>
        </w:rPr>
        <w:t>Rolain</w:t>
      </w:r>
      <w:proofErr w:type="spellEnd"/>
      <w:r>
        <w:rPr>
          <w:rFonts w:ascii="Arial" w:hAnsi="Arial" w:cs="Arial"/>
          <w:sz w:val="21"/>
          <w:szCs w:val="21"/>
        </w:rPr>
        <w:t xml:space="preserve"> J-M, </w:t>
      </w:r>
      <w:proofErr w:type="spellStart"/>
      <w:r>
        <w:rPr>
          <w:rFonts w:ascii="Arial" w:hAnsi="Arial" w:cs="Arial"/>
          <w:sz w:val="21"/>
          <w:szCs w:val="21"/>
        </w:rPr>
        <w:t>Lagier</w:t>
      </w:r>
      <w:proofErr w:type="spellEnd"/>
      <w:r>
        <w:rPr>
          <w:rFonts w:ascii="Arial" w:hAnsi="Arial" w:cs="Arial"/>
          <w:sz w:val="21"/>
          <w:szCs w:val="21"/>
        </w:rPr>
        <w:t xml:space="preserve"> J-C, et al. Chloroquine and </w:t>
      </w:r>
      <w:proofErr w:type="spellStart"/>
      <w:r>
        <w:rPr>
          <w:rFonts w:ascii="Arial" w:hAnsi="Arial" w:cs="Arial"/>
          <w:sz w:val="21"/>
          <w:szCs w:val="21"/>
        </w:rPr>
        <w:t>hydroxychloroquine</w:t>
      </w:r>
      <w:proofErr w:type="spellEnd"/>
      <w:r>
        <w:rPr>
          <w:rFonts w:ascii="Arial" w:hAnsi="Arial" w:cs="Arial"/>
          <w:sz w:val="21"/>
          <w:szCs w:val="21"/>
        </w:rPr>
        <w:t xml:space="preserve"> as available weapons to fight COVID-19. </w:t>
      </w:r>
      <w:proofErr w:type="spellStart"/>
      <w:r>
        <w:rPr>
          <w:rStyle w:val="a5"/>
          <w:rFonts w:ascii="Arial" w:hAnsi="Arial" w:cs="Arial"/>
          <w:sz w:val="21"/>
          <w:szCs w:val="21"/>
        </w:rPr>
        <w:t>Int</w:t>
      </w:r>
      <w:proofErr w:type="spellEnd"/>
      <w:r>
        <w:rPr>
          <w:rStyle w:val="a5"/>
          <w:rFonts w:ascii="Arial" w:hAnsi="Arial" w:cs="Arial"/>
          <w:sz w:val="21"/>
          <w:szCs w:val="21"/>
        </w:rPr>
        <w:t xml:space="preserve"> J </w:t>
      </w:r>
      <w:proofErr w:type="spellStart"/>
      <w:r>
        <w:rPr>
          <w:rStyle w:val="a5"/>
          <w:rFonts w:ascii="Arial" w:hAnsi="Arial" w:cs="Arial"/>
          <w:sz w:val="21"/>
          <w:szCs w:val="21"/>
        </w:rPr>
        <w:t>Antimicrob</w:t>
      </w:r>
      <w:proofErr w:type="spellEnd"/>
      <w:r>
        <w:rPr>
          <w:rStyle w:val="a5"/>
          <w:rFonts w:ascii="Arial" w:hAnsi="Arial" w:cs="Arial"/>
          <w:sz w:val="21"/>
          <w:szCs w:val="21"/>
        </w:rPr>
        <w:t xml:space="preserve"> Agents</w:t>
      </w:r>
      <w:r>
        <w:rPr>
          <w:rFonts w:ascii="Arial" w:hAnsi="Arial" w:cs="Arial"/>
          <w:sz w:val="21"/>
          <w:szCs w:val="21"/>
        </w:rPr>
        <w:t xml:space="preserve">. </w:t>
      </w:r>
      <w:proofErr w:type="spellStart"/>
      <w:r>
        <w:rPr>
          <w:rFonts w:ascii="Arial" w:hAnsi="Arial" w:cs="Arial"/>
          <w:sz w:val="21"/>
          <w:szCs w:val="21"/>
        </w:rPr>
        <w:t>Epub</w:t>
      </w:r>
      <w:proofErr w:type="spellEnd"/>
      <w:r>
        <w:rPr>
          <w:rFonts w:ascii="Arial" w:hAnsi="Arial" w:cs="Arial"/>
          <w:sz w:val="21"/>
          <w:szCs w:val="21"/>
        </w:rPr>
        <w:t xml:space="preserve"> ahead of print 2020. DOI: 10.1016/j.ijantimicag.2020.105932.</w:t>
      </w:r>
    </w:p>
    <w:p w:rsidR="008A7ACA" w:rsidRDefault="008A7ACA" w:rsidP="008A7ACA">
      <w:pPr>
        <w:pStyle w:val="a3"/>
        <w:shd w:val="clear" w:color="auto" w:fill="FFFFFF"/>
        <w:jc w:val="both"/>
        <w:rPr>
          <w:rFonts w:ascii="Arial" w:hAnsi="Arial" w:cs="Arial"/>
          <w:sz w:val="21"/>
          <w:szCs w:val="21"/>
        </w:rPr>
      </w:pPr>
      <w:r>
        <w:rPr>
          <w:rFonts w:ascii="Arial" w:hAnsi="Arial" w:cs="Arial"/>
          <w:sz w:val="21"/>
          <w:szCs w:val="21"/>
        </w:rPr>
        <w:t xml:space="preserve">25.       </w:t>
      </w:r>
      <w:proofErr w:type="spellStart"/>
      <w:r>
        <w:rPr>
          <w:rFonts w:ascii="Arial" w:hAnsi="Arial" w:cs="Arial"/>
          <w:sz w:val="21"/>
          <w:szCs w:val="21"/>
        </w:rPr>
        <w:t>Touret</w:t>
      </w:r>
      <w:proofErr w:type="spellEnd"/>
      <w:r>
        <w:rPr>
          <w:rFonts w:ascii="Arial" w:hAnsi="Arial" w:cs="Arial"/>
          <w:sz w:val="21"/>
          <w:szCs w:val="21"/>
        </w:rPr>
        <w:t xml:space="preserve"> F, de </w:t>
      </w:r>
      <w:proofErr w:type="spellStart"/>
      <w:r>
        <w:rPr>
          <w:rFonts w:ascii="Arial" w:hAnsi="Arial" w:cs="Arial"/>
          <w:sz w:val="21"/>
          <w:szCs w:val="21"/>
        </w:rPr>
        <w:t>Lamballerie</w:t>
      </w:r>
      <w:proofErr w:type="spellEnd"/>
      <w:r>
        <w:rPr>
          <w:rFonts w:ascii="Arial" w:hAnsi="Arial" w:cs="Arial"/>
          <w:sz w:val="21"/>
          <w:szCs w:val="21"/>
        </w:rPr>
        <w:t xml:space="preserve"> X. Of chloroquine and COVID-19. </w:t>
      </w:r>
      <w:r>
        <w:rPr>
          <w:rStyle w:val="a5"/>
          <w:rFonts w:ascii="Arial" w:hAnsi="Arial" w:cs="Arial"/>
          <w:sz w:val="21"/>
          <w:szCs w:val="21"/>
        </w:rPr>
        <w:t>Antiviral Research</w:t>
      </w:r>
      <w:r>
        <w:rPr>
          <w:rFonts w:ascii="Arial" w:hAnsi="Arial" w:cs="Arial"/>
          <w:sz w:val="21"/>
          <w:szCs w:val="21"/>
        </w:rPr>
        <w:t xml:space="preserve"> 2020; 177: 104762.</w:t>
      </w:r>
    </w:p>
    <w:p w:rsidR="00F53E2C" w:rsidRDefault="00F53E2C"/>
    <w:sectPr w:rsidR="00F53E2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CA"/>
    <w:rsid w:val="008A7ACA"/>
    <w:rsid w:val="00F53E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DBA2"/>
  <w15:chartTrackingRefBased/>
  <w15:docId w15:val="{353C9AA7-6A7F-4364-A48B-5F9BC3BD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7AC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Strong"/>
    <w:basedOn w:val="a0"/>
    <w:uiPriority w:val="22"/>
    <w:qFormat/>
    <w:rsid w:val="008A7ACA"/>
    <w:rPr>
      <w:b/>
      <w:bCs/>
    </w:rPr>
  </w:style>
  <w:style w:type="character" w:styleId="a5">
    <w:name w:val="Emphasis"/>
    <w:basedOn w:val="a0"/>
    <w:uiPriority w:val="20"/>
    <w:qFormat/>
    <w:rsid w:val="008A7A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1155">
      <w:bodyDiv w:val="1"/>
      <w:marLeft w:val="0"/>
      <w:marRight w:val="0"/>
      <w:marTop w:val="0"/>
      <w:marBottom w:val="0"/>
      <w:divBdr>
        <w:top w:val="none" w:sz="0" w:space="0" w:color="auto"/>
        <w:left w:val="none" w:sz="0" w:space="0" w:color="auto"/>
        <w:bottom w:val="none" w:sz="0" w:space="0" w:color="auto"/>
        <w:right w:val="none" w:sz="0" w:space="0" w:color="auto"/>
      </w:divBdr>
      <w:divsChild>
        <w:div w:id="220486819">
          <w:marLeft w:val="0"/>
          <w:marRight w:val="0"/>
          <w:marTop w:val="0"/>
          <w:marBottom w:val="0"/>
          <w:divBdr>
            <w:top w:val="none" w:sz="0" w:space="0" w:color="auto"/>
            <w:left w:val="single" w:sz="6" w:space="15" w:color="D9D9D9"/>
            <w:bottom w:val="single" w:sz="6" w:space="15" w:color="D9D9D9"/>
            <w:right w:val="single" w:sz="6" w:space="15" w:color="D9D9D9"/>
          </w:divBdr>
          <w:divsChild>
            <w:div w:id="1679891925">
              <w:marLeft w:val="0"/>
              <w:marRight w:val="0"/>
              <w:marTop w:val="0"/>
              <w:marBottom w:val="0"/>
              <w:divBdr>
                <w:top w:val="none" w:sz="0" w:space="0" w:color="auto"/>
                <w:left w:val="none" w:sz="0" w:space="0" w:color="auto"/>
                <w:bottom w:val="none" w:sz="0" w:space="0" w:color="auto"/>
                <w:right w:val="none" w:sz="0" w:space="0" w:color="auto"/>
              </w:divBdr>
              <w:divsChild>
                <w:div w:id="10426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269">
      <w:bodyDiv w:val="1"/>
      <w:marLeft w:val="0"/>
      <w:marRight w:val="0"/>
      <w:marTop w:val="0"/>
      <w:marBottom w:val="0"/>
      <w:divBdr>
        <w:top w:val="none" w:sz="0" w:space="0" w:color="auto"/>
        <w:left w:val="none" w:sz="0" w:space="0" w:color="auto"/>
        <w:bottom w:val="none" w:sz="0" w:space="0" w:color="auto"/>
        <w:right w:val="none" w:sz="0" w:space="0" w:color="auto"/>
      </w:divBdr>
      <w:divsChild>
        <w:div w:id="2138444860">
          <w:marLeft w:val="0"/>
          <w:marRight w:val="0"/>
          <w:marTop w:val="0"/>
          <w:marBottom w:val="0"/>
          <w:divBdr>
            <w:top w:val="none" w:sz="0" w:space="0" w:color="auto"/>
            <w:left w:val="single" w:sz="6" w:space="15" w:color="D9D9D9"/>
            <w:bottom w:val="single" w:sz="6" w:space="15" w:color="D9D9D9"/>
            <w:right w:val="single" w:sz="6" w:space="15" w:color="D9D9D9"/>
          </w:divBdr>
          <w:divsChild>
            <w:div w:id="390269736">
              <w:marLeft w:val="0"/>
              <w:marRight w:val="0"/>
              <w:marTop w:val="0"/>
              <w:marBottom w:val="0"/>
              <w:divBdr>
                <w:top w:val="none" w:sz="0" w:space="0" w:color="auto"/>
                <w:left w:val="none" w:sz="0" w:space="0" w:color="auto"/>
                <w:bottom w:val="none" w:sz="0" w:space="0" w:color="auto"/>
                <w:right w:val="none" w:sz="0" w:space="0" w:color="auto"/>
              </w:divBdr>
              <w:divsChild>
                <w:div w:id="19763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1581</Words>
  <Characters>9017</Characters>
  <Application>Microsoft Office Word</Application>
  <DocSecurity>0</DocSecurity>
  <Lines>75</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박수정(내과학교실)</dc:creator>
  <cp:keywords/>
  <dc:description/>
  <cp:lastModifiedBy>박수정(내과학교실)</cp:lastModifiedBy>
  <cp:revision>1</cp:revision>
  <dcterms:created xsi:type="dcterms:W3CDTF">2020-05-12T11:17:00Z</dcterms:created>
  <dcterms:modified xsi:type="dcterms:W3CDTF">2020-05-12T11:21:00Z</dcterms:modified>
</cp:coreProperties>
</file>